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FCC" w:rsidRPr="00485A96" w:rsidRDefault="00831FCC" w:rsidP="008F2896">
      <w:pPr>
        <w:jc w:val="center"/>
        <w:rPr>
          <w:rFonts w:ascii="Arial" w:hAnsi="Arial" w:cs="Arial"/>
          <w:b/>
          <w:color w:val="7030A0"/>
          <w:sz w:val="28"/>
          <w:szCs w:val="28"/>
        </w:rPr>
      </w:pPr>
      <w:r w:rsidRPr="00485A96">
        <w:rPr>
          <w:rFonts w:ascii="Arial" w:hAnsi="Arial" w:cs="Arial"/>
          <w:b/>
          <w:color w:val="7030A0"/>
          <w:sz w:val="28"/>
          <w:szCs w:val="28"/>
        </w:rPr>
        <w:t>Group Risk Development (GRiD)</w:t>
      </w:r>
    </w:p>
    <w:p w:rsidR="00372680" w:rsidRPr="00485A96" w:rsidRDefault="00372680" w:rsidP="008F2896">
      <w:pPr>
        <w:jc w:val="center"/>
        <w:rPr>
          <w:rFonts w:ascii="Arial" w:hAnsi="Arial" w:cs="Arial"/>
          <w:b/>
          <w:color w:val="7030A0"/>
          <w:sz w:val="28"/>
          <w:szCs w:val="28"/>
        </w:rPr>
      </w:pPr>
      <w:r w:rsidRPr="00485A96">
        <w:rPr>
          <w:rFonts w:ascii="Arial" w:hAnsi="Arial" w:cs="Arial"/>
          <w:b/>
          <w:color w:val="7030A0"/>
          <w:sz w:val="28"/>
          <w:szCs w:val="28"/>
        </w:rPr>
        <w:t>Overview of Group Risk Protection Insurance</w:t>
      </w:r>
    </w:p>
    <w:p w:rsidR="00372680" w:rsidRPr="00243541" w:rsidRDefault="00372680" w:rsidP="00372680">
      <w:pPr>
        <w:jc w:val="both"/>
        <w:rPr>
          <w:rFonts w:ascii="Arial" w:hAnsi="Arial" w:cs="Arial"/>
          <w:b/>
        </w:rPr>
      </w:pPr>
    </w:p>
    <w:p w:rsidR="00372680" w:rsidRDefault="00372680" w:rsidP="00372680">
      <w:pPr>
        <w:jc w:val="both"/>
        <w:rPr>
          <w:rFonts w:ascii="Arial" w:hAnsi="Arial" w:cs="Arial"/>
        </w:rPr>
      </w:pPr>
      <w:r w:rsidRPr="00243541">
        <w:rPr>
          <w:rFonts w:ascii="Arial" w:hAnsi="Arial" w:cs="Arial"/>
        </w:rPr>
        <w:t xml:space="preserve">Employers will often promise certain benefits (e.g. </w:t>
      </w:r>
      <w:r w:rsidR="0047685F">
        <w:rPr>
          <w:rFonts w:ascii="Arial" w:hAnsi="Arial" w:cs="Arial"/>
        </w:rPr>
        <w:t xml:space="preserve">death benefit and/or </w:t>
      </w:r>
      <w:r w:rsidRPr="00243541">
        <w:rPr>
          <w:rFonts w:ascii="Arial" w:hAnsi="Arial" w:cs="Arial"/>
        </w:rPr>
        <w:t xml:space="preserve">occupational sick pay) to employees as part of the contract of employment. Rather than bear all of this risk themselves, </w:t>
      </w:r>
      <w:r w:rsidR="0047685F">
        <w:rPr>
          <w:rFonts w:ascii="Arial" w:hAnsi="Arial" w:cs="Arial"/>
        </w:rPr>
        <w:t>the majority of</w:t>
      </w:r>
      <w:r w:rsidR="0047685F" w:rsidRPr="00243541">
        <w:rPr>
          <w:rFonts w:ascii="Arial" w:hAnsi="Arial" w:cs="Arial"/>
        </w:rPr>
        <w:t xml:space="preserve"> </w:t>
      </w:r>
      <w:r w:rsidRPr="00243541">
        <w:rPr>
          <w:rFonts w:ascii="Arial" w:hAnsi="Arial" w:cs="Arial"/>
        </w:rPr>
        <w:t>employers choose to take out group risk insurance policies to cover some or all of their liability</w:t>
      </w:r>
      <w:r w:rsidR="00035AFB">
        <w:rPr>
          <w:rFonts w:ascii="Arial" w:hAnsi="Arial" w:cs="Arial"/>
        </w:rPr>
        <w:t xml:space="preserve"> to provide death benefits, occupational sick pay and critical illness benefits. </w:t>
      </w:r>
    </w:p>
    <w:p w:rsidR="004A6ADE" w:rsidRDefault="004A6ADE" w:rsidP="00372680">
      <w:pPr>
        <w:jc w:val="both"/>
        <w:rPr>
          <w:rFonts w:ascii="Arial" w:hAnsi="Arial" w:cs="Arial"/>
        </w:rPr>
      </w:pPr>
    </w:p>
    <w:p w:rsidR="00865679" w:rsidRDefault="004A6ADE" w:rsidP="004A6ADE">
      <w:pPr>
        <w:jc w:val="both"/>
        <w:rPr>
          <w:rFonts w:ascii="Arial" w:hAnsi="Arial" w:cs="Arial"/>
        </w:rPr>
      </w:pPr>
      <w:r w:rsidRPr="00243541">
        <w:rPr>
          <w:rFonts w:ascii="Arial" w:hAnsi="Arial" w:cs="Arial"/>
        </w:rPr>
        <w:t>It’s important to recognise that employers are not obliged to provide any of these benefits</w:t>
      </w:r>
      <w:r w:rsidR="0047685F">
        <w:rPr>
          <w:rFonts w:ascii="Arial" w:hAnsi="Arial" w:cs="Arial"/>
        </w:rPr>
        <w:t>,</w:t>
      </w:r>
      <w:r w:rsidRPr="00243541">
        <w:rPr>
          <w:rFonts w:ascii="Arial" w:hAnsi="Arial" w:cs="Arial"/>
        </w:rPr>
        <w:t xml:space="preserve"> and those that do therefore make a sizeable contribution towards </w:t>
      </w:r>
      <w:r w:rsidR="00356DF1">
        <w:rPr>
          <w:rFonts w:ascii="Arial" w:hAnsi="Arial" w:cs="Arial"/>
        </w:rPr>
        <w:t xml:space="preserve">building financial resilience and </w:t>
      </w:r>
      <w:r w:rsidRPr="00243541">
        <w:rPr>
          <w:rFonts w:ascii="Arial" w:hAnsi="Arial" w:cs="Arial"/>
        </w:rPr>
        <w:t xml:space="preserve">protecting the UK population against the financial devastation of loss of earnings as a result of death, illness, accident or disability. </w:t>
      </w:r>
    </w:p>
    <w:p w:rsidR="00865679" w:rsidRDefault="00865679" w:rsidP="004A6ADE">
      <w:pPr>
        <w:jc w:val="both"/>
        <w:rPr>
          <w:rFonts w:ascii="Arial" w:hAnsi="Arial" w:cs="Arial"/>
        </w:rPr>
      </w:pPr>
    </w:p>
    <w:p w:rsidR="004A6ADE" w:rsidRPr="00ED17F5" w:rsidRDefault="00865679" w:rsidP="00ED17F5">
      <w:pPr>
        <w:pStyle w:val="Heading3"/>
        <w:spacing w:before="0" w:after="0"/>
        <w:jc w:val="both"/>
        <w:rPr>
          <w:rFonts w:ascii="Arial" w:hAnsi="Arial"/>
          <w:sz w:val="28"/>
          <w:szCs w:val="28"/>
        </w:rPr>
      </w:pPr>
      <w:r w:rsidRPr="00ED17F5">
        <w:rPr>
          <w:rFonts w:ascii="Arial" w:hAnsi="Arial"/>
          <w:bCs w:val="0"/>
          <w:color w:val="7030A0"/>
          <w:sz w:val="28"/>
          <w:szCs w:val="28"/>
        </w:rPr>
        <w:t>Inclusivity</w:t>
      </w:r>
      <w:r w:rsidR="004A6ADE" w:rsidRPr="00ED17F5">
        <w:rPr>
          <w:rFonts w:ascii="Arial" w:hAnsi="Arial"/>
          <w:sz w:val="28"/>
          <w:szCs w:val="28"/>
        </w:rPr>
        <w:t xml:space="preserve"> </w:t>
      </w:r>
    </w:p>
    <w:p w:rsidR="004A6ADE" w:rsidRPr="00243541" w:rsidRDefault="004A6ADE" w:rsidP="004A6ADE">
      <w:pPr>
        <w:jc w:val="both"/>
        <w:rPr>
          <w:rFonts w:ascii="Arial" w:hAnsi="Arial" w:cs="Arial"/>
        </w:rPr>
      </w:pPr>
    </w:p>
    <w:p w:rsidR="00A559BC" w:rsidRDefault="00D91593" w:rsidP="004A6ADE">
      <w:pPr>
        <w:jc w:val="both"/>
        <w:rPr>
          <w:rFonts w:ascii="Arial" w:hAnsi="Arial" w:cs="Arial"/>
        </w:rPr>
      </w:pPr>
      <w:r>
        <w:rPr>
          <w:rFonts w:ascii="Arial" w:hAnsi="Arial" w:cs="Arial"/>
        </w:rPr>
        <w:t>E</w:t>
      </w:r>
      <w:r w:rsidR="004A6ADE" w:rsidRPr="0031560E">
        <w:rPr>
          <w:rFonts w:ascii="Arial" w:hAnsi="Arial" w:cs="Arial"/>
        </w:rPr>
        <w:t>mployer spo</w:t>
      </w:r>
      <w:r w:rsidR="004A6ADE">
        <w:rPr>
          <w:rFonts w:ascii="Arial" w:hAnsi="Arial" w:cs="Arial"/>
        </w:rPr>
        <w:t xml:space="preserve">nsored group life assurance, </w:t>
      </w:r>
      <w:r w:rsidR="004A6ADE" w:rsidRPr="0031560E">
        <w:rPr>
          <w:rFonts w:ascii="Arial" w:hAnsi="Arial" w:cs="Arial"/>
        </w:rPr>
        <w:t xml:space="preserve">group income protection </w:t>
      </w:r>
      <w:r w:rsidR="004A6ADE">
        <w:rPr>
          <w:rFonts w:ascii="Arial" w:hAnsi="Arial" w:cs="Arial"/>
        </w:rPr>
        <w:t xml:space="preserve">and group critical illness </w:t>
      </w:r>
      <w:r w:rsidR="004A6ADE" w:rsidRPr="0031560E">
        <w:rPr>
          <w:rFonts w:ascii="Arial" w:hAnsi="Arial" w:cs="Arial"/>
        </w:rPr>
        <w:t xml:space="preserve">gives employees access to protection at no </w:t>
      </w:r>
      <w:r w:rsidR="003A2A7C">
        <w:rPr>
          <w:rFonts w:ascii="Arial" w:hAnsi="Arial" w:cs="Arial"/>
        </w:rPr>
        <w:t xml:space="preserve">or low </w:t>
      </w:r>
      <w:r w:rsidR="004A6ADE" w:rsidRPr="0031560E">
        <w:rPr>
          <w:rFonts w:ascii="Arial" w:hAnsi="Arial" w:cs="Arial"/>
        </w:rPr>
        <w:t xml:space="preserve">cost and, generally, a generous basic level of cover is given to all members of a group policy without the need to provide medical evidence and irrespective of their state of health. </w:t>
      </w:r>
    </w:p>
    <w:p w:rsidR="00A559BC" w:rsidRDefault="00A559BC" w:rsidP="004A6ADE">
      <w:pPr>
        <w:jc w:val="both"/>
        <w:rPr>
          <w:rFonts w:ascii="Arial" w:hAnsi="Arial" w:cs="Arial"/>
        </w:rPr>
      </w:pPr>
    </w:p>
    <w:p w:rsidR="00A559BC" w:rsidRDefault="00A559BC" w:rsidP="004A6ADE">
      <w:pPr>
        <w:jc w:val="both"/>
        <w:rPr>
          <w:rFonts w:ascii="Arial" w:hAnsi="Arial" w:cs="Arial"/>
        </w:rPr>
      </w:pPr>
      <w:r>
        <w:rPr>
          <w:rFonts w:ascii="Arial" w:hAnsi="Arial" w:cs="Arial"/>
        </w:rPr>
        <w:t xml:space="preserve">Typically, group risk providers seek to capture medical details for only the top few earners within a business and, even then, they will still generally get a generous level of </w:t>
      </w:r>
      <w:r w:rsidR="00865679">
        <w:rPr>
          <w:rFonts w:ascii="Arial" w:hAnsi="Arial" w:cs="Arial"/>
        </w:rPr>
        <w:t>benefit</w:t>
      </w:r>
      <w:r>
        <w:rPr>
          <w:rFonts w:ascii="Arial" w:hAnsi="Arial" w:cs="Arial"/>
        </w:rPr>
        <w:t xml:space="preserve"> which is free from medical underwriting. Where high earners are medically assessed for a higher level of benefit, this is generally only </w:t>
      </w:r>
      <w:r w:rsidR="0047685F">
        <w:rPr>
          <w:rFonts w:ascii="Arial" w:hAnsi="Arial" w:cs="Arial"/>
        </w:rPr>
        <w:t xml:space="preserve">required </w:t>
      </w:r>
      <w:r>
        <w:rPr>
          <w:rFonts w:ascii="Arial" w:hAnsi="Arial" w:cs="Arial"/>
        </w:rPr>
        <w:t>once.</w:t>
      </w:r>
    </w:p>
    <w:p w:rsidR="00A559BC" w:rsidRDefault="00A559BC" w:rsidP="004A6ADE">
      <w:pPr>
        <w:jc w:val="both"/>
        <w:rPr>
          <w:rFonts w:ascii="Arial" w:hAnsi="Arial" w:cs="Arial"/>
        </w:rPr>
      </w:pPr>
    </w:p>
    <w:p w:rsidR="004A6ADE" w:rsidRDefault="004A6ADE" w:rsidP="004A6ADE">
      <w:pPr>
        <w:jc w:val="both"/>
        <w:rPr>
          <w:rFonts w:ascii="Arial" w:hAnsi="Arial" w:cs="Arial"/>
        </w:rPr>
      </w:pPr>
      <w:r w:rsidRPr="0031560E">
        <w:rPr>
          <w:rFonts w:ascii="Arial" w:hAnsi="Arial" w:cs="Arial"/>
        </w:rPr>
        <w:t xml:space="preserve">This is extremely advantageous – not only for those who might otherwise not be able to afford to make their own provision but also for those who have health conditions that might otherwise mean that they are either declined or charged extra premiums for cover under an individual policy. </w:t>
      </w:r>
    </w:p>
    <w:p w:rsidR="00D91593" w:rsidRDefault="00D91593" w:rsidP="004A6ADE">
      <w:pPr>
        <w:jc w:val="both"/>
        <w:rPr>
          <w:rFonts w:ascii="Arial" w:hAnsi="Arial" w:cs="Arial"/>
        </w:rPr>
      </w:pPr>
    </w:p>
    <w:p w:rsidR="00D91593" w:rsidRDefault="00465E97" w:rsidP="004A6ADE">
      <w:pPr>
        <w:jc w:val="both"/>
        <w:rPr>
          <w:rFonts w:ascii="Arial" w:hAnsi="Arial" w:cs="Arial"/>
        </w:rPr>
      </w:pPr>
      <w:r>
        <w:rPr>
          <w:rFonts w:ascii="Arial" w:hAnsi="Arial" w:cs="Arial"/>
        </w:rPr>
        <w:t xml:space="preserve">It also gives people access to </w:t>
      </w:r>
      <w:r w:rsidR="00E2214E">
        <w:rPr>
          <w:rFonts w:ascii="Arial" w:hAnsi="Arial" w:cs="Arial"/>
        </w:rPr>
        <w:t xml:space="preserve">financial protection </w:t>
      </w:r>
      <w:r>
        <w:rPr>
          <w:rFonts w:ascii="Arial" w:hAnsi="Arial" w:cs="Arial"/>
        </w:rPr>
        <w:t xml:space="preserve">insurance without them having to </w:t>
      </w:r>
      <w:r w:rsidR="000D7145">
        <w:rPr>
          <w:rFonts w:ascii="Arial" w:hAnsi="Arial" w:cs="Arial"/>
        </w:rPr>
        <w:t>do any of the hard work.</w:t>
      </w:r>
      <w:r>
        <w:rPr>
          <w:rFonts w:ascii="Arial" w:hAnsi="Arial" w:cs="Arial"/>
        </w:rPr>
        <w:t xml:space="preserve"> The employer takes advice on the benefit design and</w:t>
      </w:r>
      <w:r w:rsidR="0047685F">
        <w:rPr>
          <w:rFonts w:ascii="Arial" w:hAnsi="Arial" w:cs="Arial"/>
        </w:rPr>
        <w:t xml:space="preserve"> cover</w:t>
      </w:r>
      <w:r>
        <w:rPr>
          <w:rFonts w:ascii="Arial" w:hAnsi="Arial" w:cs="Arial"/>
        </w:rPr>
        <w:t xml:space="preserve"> level</w:t>
      </w:r>
      <w:r w:rsidR="00080EB3">
        <w:rPr>
          <w:rFonts w:ascii="Arial" w:hAnsi="Arial" w:cs="Arial"/>
        </w:rPr>
        <w:t>s</w:t>
      </w:r>
      <w:r>
        <w:rPr>
          <w:rFonts w:ascii="Arial" w:hAnsi="Arial" w:cs="Arial"/>
        </w:rPr>
        <w:t>, either aligned to their goals and contractual obligations or merely based on good practice. The employer will also take advice on the suitability of providers</w:t>
      </w:r>
      <w:r w:rsidR="00277618">
        <w:rPr>
          <w:rFonts w:ascii="Arial" w:hAnsi="Arial" w:cs="Arial"/>
        </w:rPr>
        <w:t xml:space="preserve"> by way of a</w:t>
      </w:r>
      <w:r>
        <w:rPr>
          <w:rFonts w:ascii="Arial" w:hAnsi="Arial" w:cs="Arial"/>
        </w:rPr>
        <w:t xml:space="preserve"> market review. This process is undertaken regularly and thus keeps design appropriate and costs down. </w:t>
      </w:r>
    </w:p>
    <w:p w:rsidR="00465E97" w:rsidRDefault="00465E97" w:rsidP="004A6ADE">
      <w:pPr>
        <w:jc w:val="both"/>
        <w:rPr>
          <w:rFonts w:ascii="Arial" w:hAnsi="Arial" w:cs="Arial"/>
        </w:rPr>
      </w:pPr>
    </w:p>
    <w:p w:rsidR="00465E97" w:rsidRDefault="00465E97" w:rsidP="004A6ADE">
      <w:pPr>
        <w:jc w:val="both"/>
        <w:rPr>
          <w:rFonts w:ascii="Arial" w:hAnsi="Arial" w:cs="Arial"/>
        </w:rPr>
      </w:pPr>
      <w:r>
        <w:rPr>
          <w:rFonts w:ascii="Arial" w:hAnsi="Arial" w:cs="Arial"/>
        </w:rPr>
        <w:t xml:space="preserve">This way, </w:t>
      </w:r>
      <w:r w:rsidR="00723B7D">
        <w:rPr>
          <w:rFonts w:ascii="Arial" w:hAnsi="Arial" w:cs="Arial"/>
        </w:rPr>
        <w:t xml:space="preserve">nearly </w:t>
      </w:r>
      <w:r w:rsidR="00723B7D" w:rsidRPr="00EA6978">
        <w:rPr>
          <w:rFonts w:ascii="Arial" w:hAnsi="Arial" w:cs="Arial"/>
        </w:rPr>
        <w:t>12.5</w:t>
      </w:r>
      <w:r w:rsidR="004723DD" w:rsidRPr="00EA6978">
        <w:rPr>
          <w:rFonts w:ascii="Arial" w:hAnsi="Arial" w:cs="Arial"/>
        </w:rPr>
        <w:t xml:space="preserve"> </w:t>
      </w:r>
      <w:r w:rsidRPr="00EA6978">
        <w:rPr>
          <w:rFonts w:ascii="Arial" w:hAnsi="Arial" w:cs="Arial"/>
        </w:rPr>
        <w:t>m</w:t>
      </w:r>
      <w:r w:rsidR="00007027" w:rsidRPr="00EA6978">
        <w:rPr>
          <w:rFonts w:ascii="Arial" w:hAnsi="Arial" w:cs="Arial"/>
        </w:rPr>
        <w:t>illion</w:t>
      </w:r>
      <w:r w:rsidR="00723B7D">
        <w:rPr>
          <w:rStyle w:val="FootnoteReference"/>
          <w:rFonts w:ascii="Arial" w:hAnsi="Arial" w:cs="Arial"/>
        </w:rPr>
        <w:footnoteReference w:id="1"/>
      </w:r>
      <w:r>
        <w:rPr>
          <w:rFonts w:ascii="Arial" w:hAnsi="Arial" w:cs="Arial"/>
        </w:rPr>
        <w:t xml:space="preserve"> employees have access to material levels of financial protection without </w:t>
      </w:r>
      <w:r w:rsidR="0047685F">
        <w:rPr>
          <w:rFonts w:ascii="Arial" w:hAnsi="Arial" w:cs="Arial"/>
        </w:rPr>
        <w:t xml:space="preserve">personally </w:t>
      </w:r>
      <w:r>
        <w:rPr>
          <w:rFonts w:ascii="Arial" w:hAnsi="Arial" w:cs="Arial"/>
        </w:rPr>
        <w:t xml:space="preserve">having to take financial advice or worry about it being affordable, good value or </w:t>
      </w:r>
      <w:r w:rsidR="000D7145">
        <w:rPr>
          <w:rFonts w:ascii="Arial" w:hAnsi="Arial" w:cs="Arial"/>
        </w:rPr>
        <w:t>the cost of advice.</w:t>
      </w:r>
      <w:r>
        <w:rPr>
          <w:rFonts w:ascii="Arial" w:hAnsi="Arial" w:cs="Arial"/>
        </w:rPr>
        <w:t xml:space="preserve"> </w:t>
      </w:r>
    </w:p>
    <w:p w:rsidR="00865679" w:rsidRDefault="00865679" w:rsidP="004A6ADE">
      <w:pPr>
        <w:jc w:val="both"/>
        <w:rPr>
          <w:rFonts w:ascii="Arial" w:hAnsi="Arial" w:cs="Arial"/>
        </w:rPr>
      </w:pPr>
    </w:p>
    <w:p w:rsidR="00E50113" w:rsidRDefault="00E50113" w:rsidP="00865679">
      <w:pPr>
        <w:pStyle w:val="Heading3"/>
        <w:spacing w:before="0" w:after="0"/>
        <w:jc w:val="both"/>
        <w:rPr>
          <w:rFonts w:ascii="Arial" w:hAnsi="Arial"/>
          <w:bCs w:val="0"/>
          <w:color w:val="7030A0"/>
          <w:sz w:val="28"/>
          <w:szCs w:val="28"/>
        </w:rPr>
      </w:pPr>
    </w:p>
    <w:p w:rsidR="00865679" w:rsidRPr="00ED17F5" w:rsidRDefault="00865679" w:rsidP="00ED17F5">
      <w:pPr>
        <w:pStyle w:val="Heading3"/>
        <w:spacing w:before="0" w:after="0"/>
        <w:jc w:val="both"/>
        <w:rPr>
          <w:rFonts w:ascii="Arial" w:hAnsi="Arial"/>
          <w:color w:val="7030A0"/>
          <w:sz w:val="28"/>
          <w:szCs w:val="28"/>
        </w:rPr>
      </w:pPr>
      <w:r w:rsidRPr="00ED17F5">
        <w:rPr>
          <w:rFonts w:ascii="Arial" w:hAnsi="Arial"/>
          <w:bCs w:val="0"/>
          <w:color w:val="7030A0"/>
          <w:sz w:val="28"/>
          <w:szCs w:val="28"/>
        </w:rPr>
        <w:t>Additional support</w:t>
      </w:r>
    </w:p>
    <w:p w:rsidR="004A6ADE" w:rsidRDefault="004A6ADE" w:rsidP="004A6ADE">
      <w:pPr>
        <w:jc w:val="both"/>
        <w:rPr>
          <w:rFonts w:ascii="Arial" w:hAnsi="Arial" w:cs="Arial"/>
        </w:rPr>
      </w:pPr>
    </w:p>
    <w:p w:rsidR="006D381C" w:rsidRDefault="004A6ADE" w:rsidP="004A6ADE">
      <w:pPr>
        <w:jc w:val="both"/>
        <w:rPr>
          <w:rFonts w:ascii="Arial" w:hAnsi="Arial" w:cs="Arial"/>
        </w:rPr>
      </w:pPr>
      <w:r>
        <w:rPr>
          <w:rFonts w:ascii="Arial" w:hAnsi="Arial" w:cs="Arial"/>
        </w:rPr>
        <w:t>T</w:t>
      </w:r>
      <w:r w:rsidRPr="00243541">
        <w:rPr>
          <w:rFonts w:ascii="Arial" w:hAnsi="Arial" w:cs="Arial"/>
        </w:rPr>
        <w:t>he group risk market play</w:t>
      </w:r>
      <w:r>
        <w:rPr>
          <w:rFonts w:ascii="Arial" w:hAnsi="Arial" w:cs="Arial"/>
        </w:rPr>
        <w:t>s a significant role</w:t>
      </w:r>
      <w:r w:rsidRPr="00243541">
        <w:rPr>
          <w:rFonts w:ascii="Arial" w:hAnsi="Arial" w:cs="Arial"/>
        </w:rPr>
        <w:t xml:space="preserve"> in supporting</w:t>
      </w:r>
      <w:r>
        <w:rPr>
          <w:rFonts w:ascii="Arial" w:hAnsi="Arial" w:cs="Arial"/>
        </w:rPr>
        <w:t xml:space="preserve"> employers to provide protection products through the workplace and </w:t>
      </w:r>
      <w:r w:rsidR="00EE1513">
        <w:rPr>
          <w:rFonts w:ascii="Arial" w:hAnsi="Arial" w:cs="Arial"/>
        </w:rPr>
        <w:t xml:space="preserve">to </w:t>
      </w:r>
      <w:r w:rsidR="00356DF1">
        <w:rPr>
          <w:rFonts w:ascii="Arial" w:hAnsi="Arial" w:cs="Arial"/>
        </w:rPr>
        <w:t>help</w:t>
      </w:r>
      <w:r w:rsidR="00EE1513">
        <w:rPr>
          <w:rFonts w:ascii="Arial" w:hAnsi="Arial" w:cs="Arial"/>
        </w:rPr>
        <w:t xml:space="preserve"> their </w:t>
      </w:r>
      <w:r w:rsidR="00356DF1">
        <w:rPr>
          <w:rFonts w:ascii="Arial" w:hAnsi="Arial" w:cs="Arial"/>
        </w:rPr>
        <w:t>people</w:t>
      </w:r>
      <w:r w:rsidR="00EE1513">
        <w:rPr>
          <w:rFonts w:ascii="Arial" w:hAnsi="Arial" w:cs="Arial"/>
        </w:rPr>
        <w:t xml:space="preserve"> through difficult </w:t>
      </w:r>
      <w:r w:rsidR="00356DF1">
        <w:rPr>
          <w:rFonts w:ascii="Arial" w:hAnsi="Arial" w:cs="Arial"/>
        </w:rPr>
        <w:t xml:space="preserve">or distracting </w:t>
      </w:r>
      <w:r w:rsidR="00EE1513">
        <w:rPr>
          <w:rFonts w:ascii="Arial" w:hAnsi="Arial" w:cs="Arial"/>
        </w:rPr>
        <w:t xml:space="preserve">times. </w:t>
      </w:r>
      <w:r w:rsidR="0047685F">
        <w:rPr>
          <w:rFonts w:ascii="Arial" w:hAnsi="Arial" w:cs="Arial"/>
        </w:rPr>
        <w:t>In addition to the core benefits, many providers include associated benefits</w:t>
      </w:r>
      <w:r w:rsidR="006D381C">
        <w:rPr>
          <w:rFonts w:ascii="Arial" w:hAnsi="Arial" w:cs="Arial"/>
        </w:rPr>
        <w:t>/services</w:t>
      </w:r>
      <w:r w:rsidR="0047685F">
        <w:rPr>
          <w:rFonts w:ascii="Arial" w:hAnsi="Arial" w:cs="Arial"/>
        </w:rPr>
        <w:t xml:space="preserve"> within their contracts </w:t>
      </w:r>
      <w:r w:rsidR="006D381C">
        <w:rPr>
          <w:rFonts w:ascii="Arial" w:hAnsi="Arial" w:cs="Arial"/>
        </w:rPr>
        <w:t>to help support and assist the employer and employees.</w:t>
      </w:r>
    </w:p>
    <w:p w:rsidR="006D381C" w:rsidRDefault="006D381C" w:rsidP="004A6ADE">
      <w:pPr>
        <w:jc w:val="both"/>
        <w:rPr>
          <w:rFonts w:ascii="Arial" w:hAnsi="Arial" w:cs="Arial"/>
        </w:rPr>
      </w:pPr>
    </w:p>
    <w:p w:rsidR="004A6ADE" w:rsidRPr="00FC43B4" w:rsidRDefault="00EE1513" w:rsidP="004A6ADE">
      <w:pPr>
        <w:jc w:val="both"/>
        <w:rPr>
          <w:rFonts w:ascii="Arial" w:hAnsi="Arial" w:cs="Arial"/>
        </w:rPr>
      </w:pPr>
      <w:r>
        <w:rPr>
          <w:rFonts w:ascii="Arial" w:hAnsi="Arial" w:cs="Arial"/>
        </w:rPr>
        <w:t>U</w:t>
      </w:r>
      <w:r w:rsidR="004A6ADE">
        <w:rPr>
          <w:rFonts w:ascii="Arial" w:hAnsi="Arial" w:cs="Arial"/>
        </w:rPr>
        <w:t>nderstanding</w:t>
      </w:r>
      <w:r w:rsidR="004A6ADE" w:rsidRPr="00FC43B4">
        <w:rPr>
          <w:rFonts w:ascii="Arial" w:hAnsi="Arial" w:cs="Arial"/>
        </w:rPr>
        <w:t xml:space="preserve"> what comes along with a </w:t>
      </w:r>
      <w:r w:rsidR="00ED1D1D">
        <w:rPr>
          <w:rFonts w:ascii="Arial" w:hAnsi="Arial" w:cs="Arial"/>
        </w:rPr>
        <w:t>g</w:t>
      </w:r>
      <w:r w:rsidR="004A6ADE" w:rsidRPr="00FC43B4">
        <w:rPr>
          <w:rFonts w:ascii="Arial" w:hAnsi="Arial" w:cs="Arial"/>
        </w:rPr>
        <w:t xml:space="preserve">roup </w:t>
      </w:r>
      <w:r w:rsidR="00ED1D1D">
        <w:rPr>
          <w:rFonts w:ascii="Arial" w:hAnsi="Arial" w:cs="Arial"/>
        </w:rPr>
        <w:t>r</w:t>
      </w:r>
      <w:r w:rsidR="004A6ADE" w:rsidRPr="00FC43B4">
        <w:rPr>
          <w:rFonts w:ascii="Arial" w:hAnsi="Arial" w:cs="Arial"/>
        </w:rPr>
        <w:t xml:space="preserve">isk policy (e.g. HR support, Employee Assistance Programmes, vocational rehabilitation, fast-track access to CBT, </w:t>
      </w:r>
      <w:r w:rsidR="00D00FD1">
        <w:rPr>
          <w:rFonts w:ascii="Arial" w:hAnsi="Arial" w:cs="Arial"/>
        </w:rPr>
        <w:t xml:space="preserve">help in </w:t>
      </w:r>
      <w:r w:rsidR="006C2C17">
        <w:rPr>
          <w:rFonts w:ascii="Arial" w:hAnsi="Arial" w:cs="Arial"/>
        </w:rPr>
        <w:t>encouraging better health behaviours</w:t>
      </w:r>
      <w:r w:rsidR="00D00FD1">
        <w:rPr>
          <w:rFonts w:ascii="Arial" w:hAnsi="Arial" w:cs="Arial"/>
        </w:rPr>
        <w:t xml:space="preserve">, </w:t>
      </w:r>
      <w:r w:rsidR="004A6ADE" w:rsidRPr="00FC43B4">
        <w:rPr>
          <w:rFonts w:ascii="Arial" w:hAnsi="Arial" w:cs="Arial"/>
        </w:rPr>
        <w:t xml:space="preserve">counselling etc)  – and when and how to use it – is vital and merits equal consideration along with </w:t>
      </w:r>
      <w:r w:rsidR="006D381C">
        <w:rPr>
          <w:rFonts w:ascii="Arial" w:hAnsi="Arial" w:cs="Arial"/>
        </w:rPr>
        <w:t xml:space="preserve">pure </w:t>
      </w:r>
      <w:r w:rsidR="004A6ADE" w:rsidRPr="00FC43B4">
        <w:rPr>
          <w:rFonts w:ascii="Arial" w:hAnsi="Arial" w:cs="Arial"/>
        </w:rPr>
        <w:t xml:space="preserve">price and core </w:t>
      </w:r>
      <w:r w:rsidR="006D381C">
        <w:rPr>
          <w:rFonts w:ascii="Arial" w:hAnsi="Arial" w:cs="Arial"/>
        </w:rPr>
        <w:t>benefits</w:t>
      </w:r>
      <w:r w:rsidR="004A6ADE" w:rsidRPr="00FC43B4">
        <w:rPr>
          <w:rFonts w:ascii="Arial" w:hAnsi="Arial" w:cs="Arial"/>
        </w:rPr>
        <w:t xml:space="preserve">.  </w:t>
      </w:r>
    </w:p>
    <w:p w:rsidR="004A6ADE" w:rsidRPr="00FC43B4" w:rsidRDefault="004A6ADE" w:rsidP="004A6ADE">
      <w:pPr>
        <w:jc w:val="both"/>
        <w:rPr>
          <w:rFonts w:ascii="Arial" w:hAnsi="Arial" w:cs="Arial"/>
        </w:rPr>
      </w:pPr>
    </w:p>
    <w:p w:rsidR="00865679" w:rsidRDefault="004A6ADE" w:rsidP="004A6ADE">
      <w:pPr>
        <w:jc w:val="both"/>
        <w:rPr>
          <w:rFonts w:ascii="Arial" w:hAnsi="Arial" w:cs="Arial"/>
        </w:rPr>
      </w:pPr>
      <w:r w:rsidRPr="00FC43B4">
        <w:rPr>
          <w:rFonts w:ascii="Arial" w:hAnsi="Arial" w:cs="Arial"/>
        </w:rPr>
        <w:t xml:space="preserve">With the help of their </w:t>
      </w:r>
      <w:r>
        <w:rPr>
          <w:rFonts w:ascii="Arial" w:hAnsi="Arial" w:cs="Arial"/>
        </w:rPr>
        <w:t>adviser</w:t>
      </w:r>
      <w:r w:rsidRPr="00FC43B4">
        <w:rPr>
          <w:rFonts w:ascii="Arial" w:hAnsi="Arial" w:cs="Arial"/>
        </w:rPr>
        <w:t xml:space="preserve">, astute employers will make full use of these additional services </w:t>
      </w:r>
      <w:r w:rsidR="00035AFB">
        <w:rPr>
          <w:rFonts w:ascii="Arial" w:hAnsi="Arial" w:cs="Arial"/>
        </w:rPr>
        <w:t>to support their business and employees</w:t>
      </w:r>
      <w:r w:rsidR="007954D4">
        <w:rPr>
          <w:rFonts w:ascii="Arial" w:hAnsi="Arial" w:cs="Arial"/>
        </w:rPr>
        <w:t>. T</w:t>
      </w:r>
      <w:r w:rsidRPr="00FC43B4">
        <w:rPr>
          <w:rFonts w:ascii="Arial" w:hAnsi="Arial" w:cs="Arial"/>
        </w:rPr>
        <w:t>hey can</w:t>
      </w:r>
      <w:r w:rsidR="005F58ED" w:rsidRPr="009E014E">
        <w:rPr>
          <w:rFonts w:ascii="Arial" w:hAnsi="Arial" w:cs="Arial"/>
          <w:color w:val="000000"/>
        </w:rPr>
        <w:t xml:space="preserve"> be extremely effective in keeping people in the workplace, giving them the help they need to make life changes and supporting them back to work.</w:t>
      </w:r>
      <w:r w:rsidR="005F58ED">
        <w:rPr>
          <w:rFonts w:ascii="Arial" w:hAnsi="Arial" w:cs="Arial"/>
          <w:color w:val="000000"/>
        </w:rPr>
        <w:t xml:space="preserve"> They </w:t>
      </w:r>
      <w:r w:rsidR="00CB5CE8">
        <w:rPr>
          <w:rFonts w:ascii="Arial" w:hAnsi="Arial" w:cs="Arial"/>
          <w:color w:val="000000"/>
        </w:rPr>
        <w:t xml:space="preserve">can </w:t>
      </w:r>
      <w:r w:rsidR="005F58ED">
        <w:rPr>
          <w:rFonts w:ascii="Arial" w:hAnsi="Arial" w:cs="Arial"/>
          <w:color w:val="000000"/>
        </w:rPr>
        <w:t>also s</w:t>
      </w:r>
      <w:r w:rsidRPr="00FC43B4">
        <w:rPr>
          <w:rFonts w:ascii="Arial" w:hAnsi="Arial" w:cs="Arial"/>
        </w:rPr>
        <w:t xml:space="preserve">ave </w:t>
      </w:r>
      <w:r w:rsidR="005F58ED">
        <w:rPr>
          <w:rFonts w:ascii="Arial" w:hAnsi="Arial" w:cs="Arial"/>
        </w:rPr>
        <w:t xml:space="preserve">employers </w:t>
      </w:r>
      <w:r w:rsidRPr="00FC43B4">
        <w:rPr>
          <w:rFonts w:ascii="Arial" w:hAnsi="Arial" w:cs="Arial"/>
        </w:rPr>
        <w:t xml:space="preserve">money elsewhere and can be used by </w:t>
      </w:r>
      <w:r w:rsidR="00035AFB">
        <w:rPr>
          <w:rFonts w:ascii="Arial" w:hAnsi="Arial" w:cs="Arial"/>
        </w:rPr>
        <w:t>HR, line managers and staff</w:t>
      </w:r>
      <w:r w:rsidRPr="00FC43B4">
        <w:rPr>
          <w:rFonts w:ascii="Arial" w:hAnsi="Arial" w:cs="Arial"/>
        </w:rPr>
        <w:t xml:space="preserve"> on a daily basis - even if a claim is never made under the policy. </w:t>
      </w:r>
    </w:p>
    <w:p w:rsidR="00865679" w:rsidRDefault="00865679" w:rsidP="004A6ADE">
      <w:pPr>
        <w:jc w:val="both"/>
        <w:rPr>
          <w:rFonts w:ascii="Arial" w:hAnsi="Arial" w:cs="Arial"/>
        </w:rPr>
      </w:pPr>
    </w:p>
    <w:p w:rsidR="004A6ADE" w:rsidRPr="00ED17F5" w:rsidRDefault="00865679" w:rsidP="00ED17F5">
      <w:pPr>
        <w:pStyle w:val="Heading3"/>
        <w:spacing w:before="0" w:after="0"/>
        <w:jc w:val="both"/>
        <w:rPr>
          <w:rFonts w:ascii="Arial" w:hAnsi="Arial"/>
          <w:color w:val="7030A0"/>
          <w:sz w:val="28"/>
          <w:szCs w:val="28"/>
        </w:rPr>
      </w:pPr>
      <w:r w:rsidRPr="00ED17F5">
        <w:rPr>
          <w:rFonts w:ascii="Arial" w:hAnsi="Arial"/>
          <w:bCs w:val="0"/>
          <w:color w:val="7030A0"/>
          <w:sz w:val="28"/>
          <w:szCs w:val="28"/>
        </w:rPr>
        <w:t>Group Risk Products</w:t>
      </w:r>
      <w:r w:rsidR="004A6ADE" w:rsidRPr="00ED17F5">
        <w:rPr>
          <w:rFonts w:ascii="Arial" w:hAnsi="Arial"/>
          <w:bCs w:val="0"/>
          <w:color w:val="7030A0"/>
          <w:sz w:val="28"/>
          <w:szCs w:val="28"/>
        </w:rPr>
        <w:t xml:space="preserve"> </w:t>
      </w:r>
    </w:p>
    <w:p w:rsidR="004A6ADE" w:rsidRDefault="004A6ADE" w:rsidP="004A6ADE">
      <w:pPr>
        <w:spacing w:line="276" w:lineRule="auto"/>
        <w:jc w:val="both"/>
        <w:rPr>
          <w:rFonts w:ascii="Arial" w:hAnsi="Arial" w:cs="Arial"/>
          <w:b/>
        </w:rPr>
      </w:pPr>
    </w:p>
    <w:p w:rsidR="00372680" w:rsidRPr="00243541" w:rsidRDefault="00372680" w:rsidP="00372680">
      <w:pPr>
        <w:jc w:val="both"/>
        <w:rPr>
          <w:rFonts w:ascii="Arial" w:hAnsi="Arial" w:cs="Arial"/>
        </w:rPr>
      </w:pPr>
      <w:r w:rsidRPr="00243541">
        <w:rPr>
          <w:rFonts w:ascii="Arial" w:hAnsi="Arial" w:cs="Arial"/>
        </w:rPr>
        <w:t xml:space="preserve">A brief description </w:t>
      </w:r>
      <w:r>
        <w:rPr>
          <w:rFonts w:ascii="Arial" w:hAnsi="Arial" w:cs="Arial"/>
        </w:rPr>
        <w:t xml:space="preserve">of </w:t>
      </w:r>
      <w:r w:rsidRPr="00243541">
        <w:rPr>
          <w:rFonts w:ascii="Arial" w:hAnsi="Arial" w:cs="Arial"/>
        </w:rPr>
        <w:t>group risk</w:t>
      </w:r>
      <w:r>
        <w:rPr>
          <w:rFonts w:ascii="Arial" w:hAnsi="Arial" w:cs="Arial"/>
        </w:rPr>
        <w:t xml:space="preserve"> protection </w:t>
      </w:r>
      <w:r w:rsidRPr="00243541">
        <w:rPr>
          <w:rFonts w:ascii="Arial" w:hAnsi="Arial" w:cs="Arial"/>
        </w:rPr>
        <w:t>insurance products (group life assurance</w:t>
      </w:r>
      <w:r>
        <w:rPr>
          <w:rFonts w:ascii="Arial" w:hAnsi="Arial" w:cs="Arial"/>
        </w:rPr>
        <w:t xml:space="preserve">, </w:t>
      </w:r>
      <w:r w:rsidRPr="00243541">
        <w:rPr>
          <w:rFonts w:ascii="Arial" w:hAnsi="Arial" w:cs="Arial"/>
        </w:rPr>
        <w:t>group income protection</w:t>
      </w:r>
      <w:r>
        <w:rPr>
          <w:rFonts w:ascii="Arial" w:hAnsi="Arial" w:cs="Arial"/>
        </w:rPr>
        <w:t xml:space="preserve"> and group critical illness</w:t>
      </w:r>
      <w:r w:rsidRPr="00243541">
        <w:rPr>
          <w:rFonts w:ascii="Arial" w:hAnsi="Arial" w:cs="Arial"/>
        </w:rPr>
        <w:t>) is set out below</w:t>
      </w:r>
      <w:r w:rsidR="00B20C8A">
        <w:rPr>
          <w:rFonts w:ascii="Arial" w:hAnsi="Arial" w:cs="Arial"/>
        </w:rPr>
        <w:t>.</w:t>
      </w:r>
    </w:p>
    <w:p w:rsidR="00FF419F" w:rsidRDefault="00FF419F" w:rsidP="00FF419F">
      <w:pPr>
        <w:pStyle w:val="Heading3"/>
        <w:spacing w:before="0" w:after="0"/>
        <w:jc w:val="both"/>
        <w:rPr>
          <w:rFonts w:ascii="Arial" w:hAnsi="Arial"/>
          <w:b w:val="0"/>
          <w:bCs w:val="0"/>
          <w:color w:val="7030A0"/>
          <w:sz w:val="24"/>
          <w:szCs w:val="24"/>
        </w:rPr>
      </w:pPr>
    </w:p>
    <w:p w:rsidR="00FF419F" w:rsidRPr="00FF419F" w:rsidRDefault="00372680" w:rsidP="00FF419F">
      <w:pPr>
        <w:pStyle w:val="Heading3"/>
        <w:spacing w:before="0" w:after="0"/>
        <w:jc w:val="both"/>
        <w:rPr>
          <w:rFonts w:ascii="Arial" w:hAnsi="Arial"/>
          <w:bCs w:val="0"/>
          <w:color w:val="7030A0"/>
          <w:sz w:val="24"/>
          <w:szCs w:val="24"/>
        </w:rPr>
      </w:pPr>
      <w:r w:rsidRPr="00FF419F">
        <w:rPr>
          <w:rFonts w:ascii="Arial" w:hAnsi="Arial"/>
          <w:bCs w:val="0"/>
          <w:color w:val="7030A0"/>
          <w:sz w:val="24"/>
          <w:szCs w:val="24"/>
        </w:rPr>
        <w:t>Group life assurance</w:t>
      </w:r>
    </w:p>
    <w:p w:rsidR="00B71443" w:rsidRPr="00FF419F" w:rsidRDefault="004A6ADE" w:rsidP="00FF419F">
      <w:pPr>
        <w:pStyle w:val="Heading3"/>
        <w:spacing w:before="0" w:after="0"/>
        <w:jc w:val="both"/>
        <w:rPr>
          <w:rFonts w:ascii="Arial" w:hAnsi="Arial"/>
          <w:b w:val="0"/>
          <w:bCs w:val="0"/>
          <w:color w:val="7030A0"/>
          <w:sz w:val="24"/>
          <w:szCs w:val="24"/>
        </w:rPr>
      </w:pPr>
      <w:r w:rsidRPr="00FF419F">
        <w:rPr>
          <w:rFonts w:ascii="Arial" w:hAnsi="Arial"/>
          <w:b w:val="0"/>
          <w:bCs w:val="0"/>
          <w:sz w:val="24"/>
          <w:szCs w:val="24"/>
        </w:rPr>
        <w:t>A</w:t>
      </w:r>
      <w:r w:rsidR="00372680" w:rsidRPr="00FF419F">
        <w:rPr>
          <w:rFonts w:ascii="Arial" w:hAnsi="Arial"/>
          <w:b w:val="0"/>
          <w:bCs w:val="0"/>
          <w:sz w:val="24"/>
          <w:szCs w:val="24"/>
        </w:rPr>
        <w:t xml:space="preserve"> policy taken out by an employer to provide a lump sum benefit and/or a spouse’s</w:t>
      </w:r>
      <w:r w:rsidR="00372680" w:rsidRPr="00243541">
        <w:rPr>
          <w:rFonts w:ascii="Arial" w:hAnsi="Arial"/>
          <w:b w:val="0"/>
          <w:sz w:val="24"/>
          <w:szCs w:val="24"/>
        </w:rPr>
        <w:t xml:space="preserve">/dependants’ pension payable on the </w:t>
      </w:r>
      <w:r w:rsidR="00372680" w:rsidRPr="00243541">
        <w:rPr>
          <w:rFonts w:ascii="Arial" w:hAnsi="Arial"/>
          <w:b w:val="0"/>
          <w:bCs w:val="0"/>
          <w:sz w:val="24"/>
          <w:szCs w:val="24"/>
        </w:rPr>
        <w:t xml:space="preserve">death of an employee whilst in service.  While some group life benefits are provided as part of an occupational pension scheme others will be provided under ‘stand-alone’ schemes without any link to a pension scheme. </w:t>
      </w:r>
    </w:p>
    <w:p w:rsidR="00B71443" w:rsidRPr="00706927" w:rsidRDefault="00B71443" w:rsidP="004A6ADE">
      <w:pPr>
        <w:pStyle w:val="Heading3"/>
        <w:jc w:val="both"/>
        <w:rPr>
          <w:rFonts w:ascii="Arial" w:hAnsi="Arial"/>
          <w:b w:val="0"/>
          <w:sz w:val="24"/>
          <w:szCs w:val="24"/>
        </w:rPr>
      </w:pPr>
      <w:r w:rsidRPr="00706927">
        <w:rPr>
          <w:rFonts w:ascii="Arial" w:hAnsi="Arial"/>
          <w:b w:val="0"/>
          <w:sz w:val="24"/>
          <w:szCs w:val="24"/>
        </w:rPr>
        <w:t xml:space="preserve">Group </w:t>
      </w:r>
      <w:r w:rsidR="008B640F">
        <w:rPr>
          <w:rFonts w:ascii="Arial" w:hAnsi="Arial"/>
          <w:b w:val="0"/>
          <w:sz w:val="24"/>
          <w:szCs w:val="24"/>
        </w:rPr>
        <w:t>l</w:t>
      </w:r>
      <w:r w:rsidRPr="00706927">
        <w:rPr>
          <w:rFonts w:ascii="Arial" w:hAnsi="Arial"/>
          <w:b w:val="0"/>
          <w:sz w:val="24"/>
          <w:szCs w:val="24"/>
        </w:rPr>
        <w:t xml:space="preserve">ife </w:t>
      </w:r>
      <w:r w:rsidR="008B640F">
        <w:rPr>
          <w:rFonts w:ascii="Arial" w:hAnsi="Arial"/>
          <w:b w:val="0"/>
          <w:sz w:val="24"/>
          <w:szCs w:val="24"/>
        </w:rPr>
        <w:t>a</w:t>
      </w:r>
      <w:r w:rsidRPr="00706927">
        <w:rPr>
          <w:rFonts w:ascii="Arial" w:hAnsi="Arial"/>
          <w:b w:val="0"/>
          <w:sz w:val="24"/>
          <w:szCs w:val="24"/>
        </w:rPr>
        <w:t xml:space="preserve">ssurance is traditionally valued by employees and has become an essential core benefit for attraction and retention.  </w:t>
      </w:r>
    </w:p>
    <w:p w:rsidR="00B71443" w:rsidRPr="00B71443" w:rsidRDefault="00B71443" w:rsidP="00B71443"/>
    <w:p w:rsidR="00372680" w:rsidRPr="00243541" w:rsidRDefault="009376DB" w:rsidP="004A6ADE">
      <w:pPr>
        <w:rPr>
          <w:rFonts w:ascii="Arial" w:hAnsi="Arial" w:cs="Arial"/>
        </w:rPr>
      </w:pPr>
      <w:r>
        <w:rPr>
          <w:rFonts w:ascii="Arial" w:hAnsi="Arial" w:cs="Arial"/>
        </w:rPr>
        <w:t>53,318 policies</w:t>
      </w:r>
      <w:r w:rsidR="00372680">
        <w:rPr>
          <w:rFonts w:ascii="Arial" w:hAnsi="Arial" w:cs="Arial"/>
        </w:rPr>
        <w:t xml:space="preserve"> </w:t>
      </w:r>
      <w:r w:rsidR="00372680" w:rsidRPr="00F85D96">
        <w:rPr>
          <w:rFonts w:ascii="Arial" w:hAnsi="Arial" w:cs="Arial"/>
        </w:rPr>
        <w:t>cover</w:t>
      </w:r>
      <w:r w:rsidR="00372680">
        <w:rPr>
          <w:rFonts w:ascii="Arial" w:hAnsi="Arial" w:cs="Arial"/>
        </w:rPr>
        <w:t xml:space="preserve"> </w:t>
      </w:r>
      <w:r w:rsidR="00EA6978" w:rsidRPr="00ED17F5">
        <w:rPr>
          <w:rFonts w:ascii="Arial" w:hAnsi="Arial" w:cs="Arial"/>
        </w:rPr>
        <w:t>9</w:t>
      </w:r>
      <w:r w:rsidR="00007027" w:rsidRPr="00EA6978">
        <w:rPr>
          <w:rFonts w:ascii="Arial" w:hAnsi="Arial" w:cs="Arial"/>
        </w:rPr>
        <w:t>.5</w:t>
      </w:r>
      <w:r w:rsidR="00372680" w:rsidRPr="00EA6978">
        <w:rPr>
          <w:rFonts w:ascii="Arial" w:hAnsi="Arial" w:cs="Arial"/>
        </w:rPr>
        <w:t xml:space="preserve"> million people for death benefits valued at £</w:t>
      </w:r>
      <w:r w:rsidR="00E16F42" w:rsidRPr="00EA6978">
        <w:rPr>
          <w:rFonts w:ascii="Arial" w:hAnsi="Arial" w:cs="Arial"/>
        </w:rPr>
        <w:t>1,</w:t>
      </w:r>
      <w:r w:rsidR="00A62AFA" w:rsidRPr="00EA6978">
        <w:rPr>
          <w:rFonts w:ascii="Arial" w:hAnsi="Arial" w:cs="Arial"/>
        </w:rPr>
        <w:t>2</w:t>
      </w:r>
      <w:r w:rsidR="00E16F42" w:rsidRPr="00EA6978">
        <w:rPr>
          <w:rFonts w:ascii="Arial" w:hAnsi="Arial" w:cs="Arial"/>
        </w:rPr>
        <w:t>27</w:t>
      </w:r>
      <w:r w:rsidR="00372680" w:rsidRPr="00EA6978">
        <w:rPr>
          <w:rFonts w:ascii="Arial" w:hAnsi="Arial" w:cs="Arial"/>
        </w:rPr>
        <w:t xml:space="preserve"> billion</w:t>
      </w:r>
      <w:r w:rsidR="00DE72CD" w:rsidRPr="00EA6978">
        <w:rPr>
          <w:rStyle w:val="FootnoteReference"/>
          <w:rFonts w:ascii="Arial" w:hAnsi="Arial" w:cs="Arial"/>
        </w:rPr>
        <w:footnoteReference w:id="2"/>
      </w:r>
      <w:r w:rsidR="00372680" w:rsidRPr="00EA6978">
        <w:rPr>
          <w:rFonts w:ascii="Arial" w:hAnsi="Arial" w:cs="Arial"/>
        </w:rPr>
        <w:t xml:space="preserve"> </w:t>
      </w:r>
      <w:r w:rsidR="00372680" w:rsidRPr="00243541">
        <w:rPr>
          <w:rFonts w:ascii="Arial" w:hAnsi="Arial" w:cs="Arial"/>
        </w:rPr>
        <w:t>(</w:t>
      </w:r>
      <w:r w:rsidR="00372680" w:rsidRPr="00342EBF">
        <w:rPr>
          <w:rFonts w:ascii="Arial" w:hAnsi="Arial" w:cs="Arial"/>
        </w:rPr>
        <w:t>40</w:t>
      </w:r>
      <w:r w:rsidR="00372680" w:rsidRPr="00243541">
        <w:rPr>
          <w:rFonts w:ascii="Arial" w:hAnsi="Arial" w:cs="Arial"/>
        </w:rPr>
        <w:t xml:space="preserve">% of all insured </w:t>
      </w:r>
      <w:smartTag w:uri="urn:schemas-microsoft-com:office:smarttags" w:element="place">
        <w:smartTag w:uri="urn:schemas-microsoft-com:office:smarttags" w:element="country-region">
          <w:r w:rsidR="00372680" w:rsidRPr="00243541">
            <w:rPr>
              <w:rFonts w:ascii="Arial" w:hAnsi="Arial" w:cs="Arial"/>
            </w:rPr>
            <w:t>UK</w:t>
          </w:r>
        </w:smartTag>
      </w:smartTag>
      <w:r w:rsidR="00372680" w:rsidRPr="00243541">
        <w:rPr>
          <w:rFonts w:ascii="Arial" w:hAnsi="Arial" w:cs="Arial"/>
        </w:rPr>
        <w:t xml:space="preserve"> life cover</w:t>
      </w:r>
      <w:r w:rsidR="00372680" w:rsidRPr="00243541">
        <w:rPr>
          <w:rStyle w:val="FootnoteReference"/>
          <w:rFonts w:ascii="Arial" w:hAnsi="Arial" w:cs="Arial"/>
        </w:rPr>
        <w:footnoteReference w:id="3"/>
      </w:r>
      <w:r w:rsidR="004723DD">
        <w:rPr>
          <w:rFonts w:ascii="Arial" w:hAnsi="Arial" w:cs="Arial"/>
        </w:rPr>
        <w:t>).</w:t>
      </w:r>
      <w:r w:rsidR="00372680" w:rsidRPr="00243541">
        <w:rPr>
          <w:rFonts w:ascii="Arial" w:hAnsi="Arial" w:cs="Arial"/>
        </w:rPr>
        <w:t xml:space="preserve"> </w:t>
      </w:r>
    </w:p>
    <w:p w:rsidR="00372680" w:rsidRPr="00243541" w:rsidRDefault="00372680" w:rsidP="00372680">
      <w:pPr>
        <w:ind w:left="567"/>
        <w:rPr>
          <w:rFonts w:ascii="Arial" w:hAnsi="Arial" w:cs="Arial"/>
        </w:rPr>
      </w:pPr>
    </w:p>
    <w:p w:rsidR="00557649" w:rsidRPr="00243541" w:rsidRDefault="00372680" w:rsidP="004A6ADE">
      <w:pPr>
        <w:rPr>
          <w:rFonts w:ascii="Arial" w:hAnsi="Arial" w:cs="Arial"/>
        </w:rPr>
      </w:pPr>
      <w:r w:rsidRPr="00243541">
        <w:rPr>
          <w:rFonts w:ascii="Arial" w:hAnsi="Arial" w:cs="Arial"/>
        </w:rPr>
        <w:t>The gr</w:t>
      </w:r>
      <w:r>
        <w:rPr>
          <w:rFonts w:ascii="Arial" w:hAnsi="Arial" w:cs="Arial"/>
        </w:rPr>
        <w:t xml:space="preserve">oup risk industry paid out </w:t>
      </w:r>
      <w:r w:rsidR="009E4C3B">
        <w:rPr>
          <w:rFonts w:ascii="Arial" w:hAnsi="Arial" w:cs="Arial"/>
        </w:rPr>
        <w:t>9,404</w:t>
      </w:r>
      <w:r>
        <w:rPr>
          <w:rFonts w:ascii="Arial" w:hAnsi="Arial" w:cs="Arial"/>
        </w:rPr>
        <w:t xml:space="preserve"> death claims in 201</w:t>
      </w:r>
      <w:r w:rsidR="009E4C3B">
        <w:rPr>
          <w:rFonts w:ascii="Arial" w:hAnsi="Arial" w:cs="Arial"/>
        </w:rPr>
        <w:t>7</w:t>
      </w:r>
      <w:r w:rsidRPr="00243541">
        <w:rPr>
          <w:rFonts w:ascii="Arial" w:hAnsi="Arial" w:cs="Arial"/>
        </w:rPr>
        <w:t>,</w:t>
      </w:r>
      <w:r>
        <w:rPr>
          <w:rFonts w:ascii="Arial" w:hAnsi="Arial" w:cs="Arial"/>
        </w:rPr>
        <w:t xml:space="preserve"> valued at £</w:t>
      </w:r>
      <w:r w:rsidR="009E4C3B">
        <w:rPr>
          <w:rFonts w:ascii="Arial" w:hAnsi="Arial" w:cs="Arial"/>
        </w:rPr>
        <w:t>1.067</w:t>
      </w:r>
      <w:r w:rsidRPr="00243541">
        <w:rPr>
          <w:rFonts w:ascii="Arial" w:hAnsi="Arial" w:cs="Arial"/>
        </w:rPr>
        <w:t xml:space="preserve"> </w:t>
      </w:r>
      <w:r w:rsidR="009E4C3B">
        <w:rPr>
          <w:rFonts w:ascii="Arial" w:hAnsi="Arial" w:cs="Arial"/>
        </w:rPr>
        <w:t>b</w:t>
      </w:r>
      <w:r w:rsidRPr="00243541">
        <w:rPr>
          <w:rFonts w:ascii="Arial" w:hAnsi="Arial" w:cs="Arial"/>
        </w:rPr>
        <w:t xml:space="preserve">illion.  </w:t>
      </w:r>
      <w:r>
        <w:rPr>
          <w:rFonts w:ascii="Arial" w:hAnsi="Arial" w:cs="Arial"/>
        </w:rPr>
        <w:t>The average claim was £</w:t>
      </w:r>
      <w:r w:rsidR="00F27812">
        <w:rPr>
          <w:rFonts w:ascii="Arial" w:hAnsi="Arial" w:cs="Arial"/>
        </w:rPr>
        <w:t>113,479</w:t>
      </w:r>
      <w:r w:rsidRPr="00243541">
        <w:rPr>
          <w:rStyle w:val="FootnoteReference"/>
          <w:rFonts w:ascii="Arial" w:hAnsi="Arial" w:cs="Arial"/>
        </w:rPr>
        <w:footnoteReference w:id="4"/>
      </w:r>
      <w:r w:rsidR="009C2679">
        <w:rPr>
          <w:rFonts w:ascii="Arial" w:hAnsi="Arial" w:cs="Arial"/>
        </w:rPr>
        <w:t>.</w:t>
      </w:r>
    </w:p>
    <w:p w:rsidR="00372680" w:rsidRPr="00243541" w:rsidRDefault="00372680" w:rsidP="00372680">
      <w:pPr>
        <w:jc w:val="both"/>
        <w:rPr>
          <w:rFonts w:ascii="Arial" w:hAnsi="Arial" w:cs="Arial"/>
        </w:rPr>
      </w:pPr>
    </w:p>
    <w:p w:rsidR="00257FA6" w:rsidRDefault="00257FA6" w:rsidP="00FF419F">
      <w:pPr>
        <w:jc w:val="both"/>
        <w:rPr>
          <w:rFonts w:ascii="Arial" w:hAnsi="Arial" w:cs="Arial"/>
          <w:b/>
          <w:color w:val="7030A0"/>
        </w:rPr>
      </w:pPr>
    </w:p>
    <w:p w:rsidR="004A6ADE" w:rsidRPr="00485A96" w:rsidRDefault="00372680" w:rsidP="00FF419F">
      <w:pPr>
        <w:jc w:val="both"/>
        <w:rPr>
          <w:rFonts w:ascii="Arial" w:hAnsi="Arial" w:cs="Arial"/>
          <w:b/>
          <w:color w:val="7030A0"/>
        </w:rPr>
      </w:pPr>
      <w:r w:rsidRPr="00485A96">
        <w:rPr>
          <w:rFonts w:ascii="Arial" w:hAnsi="Arial" w:cs="Arial"/>
          <w:b/>
          <w:color w:val="7030A0"/>
        </w:rPr>
        <w:lastRenderedPageBreak/>
        <w:t>Group income protection</w:t>
      </w:r>
    </w:p>
    <w:p w:rsidR="00372680" w:rsidRDefault="004A6ADE" w:rsidP="00FF419F">
      <w:pPr>
        <w:jc w:val="both"/>
        <w:rPr>
          <w:rFonts w:ascii="Arial" w:hAnsi="Arial" w:cs="Arial"/>
          <w:bCs/>
        </w:rPr>
      </w:pPr>
      <w:r>
        <w:rPr>
          <w:rFonts w:ascii="Arial" w:hAnsi="Arial" w:cs="Arial"/>
        </w:rPr>
        <w:t>A</w:t>
      </w:r>
      <w:r w:rsidR="00372680" w:rsidRPr="00243541">
        <w:rPr>
          <w:rFonts w:ascii="Arial" w:hAnsi="Arial" w:cs="Arial"/>
        </w:rPr>
        <w:t xml:space="preserve"> policy taken out by an employer to cover their promise to provide sick pay to employees if illness or injury prevents them from working for a prolonged period</w:t>
      </w:r>
      <w:r w:rsidR="00372680" w:rsidRPr="00243541">
        <w:rPr>
          <w:rFonts w:ascii="Arial" w:hAnsi="Arial" w:cs="Arial"/>
          <w:bCs/>
        </w:rPr>
        <w:t>. It can also replace lost income where an employee has to take a part-time or lower-paid position because of illness or injury.</w:t>
      </w:r>
    </w:p>
    <w:p w:rsidR="00372680" w:rsidRDefault="00372680" w:rsidP="00372680">
      <w:pPr>
        <w:jc w:val="both"/>
        <w:rPr>
          <w:rFonts w:ascii="Arial" w:hAnsi="Arial" w:cs="Arial"/>
          <w:bCs/>
        </w:rPr>
      </w:pPr>
    </w:p>
    <w:p w:rsidR="00372680" w:rsidRDefault="00372680" w:rsidP="004A6ADE">
      <w:pPr>
        <w:jc w:val="both"/>
        <w:rPr>
          <w:rFonts w:ascii="Arial" w:hAnsi="Arial" w:cs="Arial"/>
        </w:rPr>
      </w:pPr>
      <w:r w:rsidRPr="00420EF7">
        <w:rPr>
          <w:rFonts w:ascii="Arial" w:hAnsi="Arial" w:cs="Arial"/>
        </w:rPr>
        <w:t xml:space="preserve">If the employee cannot work due to illness or injury the policy will pay a benefit of a proportion of their salary. The benefit is paid to the employer and then passed on to the employee through the PAYE system. </w:t>
      </w:r>
      <w:r>
        <w:rPr>
          <w:rFonts w:ascii="Arial" w:hAnsi="Arial" w:cs="Arial"/>
        </w:rPr>
        <w:t xml:space="preserve"> </w:t>
      </w:r>
      <w:r w:rsidRPr="00420EF7">
        <w:rPr>
          <w:rFonts w:ascii="Arial" w:hAnsi="Arial" w:cs="Arial"/>
        </w:rPr>
        <w:t xml:space="preserve">The benefit level is designed to ensure that the employee will be able to maintain a reasonable standard of living but still has a financial incentive to return to work. </w:t>
      </w:r>
      <w:r w:rsidR="008B640F">
        <w:rPr>
          <w:rFonts w:ascii="Arial" w:hAnsi="Arial" w:cs="Arial"/>
        </w:rPr>
        <w:t>Tax, national insurance and pension contributions continue to be paid in the normal way</w:t>
      </w:r>
      <w:r w:rsidR="00BF5E33">
        <w:rPr>
          <w:rFonts w:ascii="Arial" w:hAnsi="Arial" w:cs="Arial"/>
        </w:rPr>
        <w:t>.</w:t>
      </w:r>
    </w:p>
    <w:p w:rsidR="00FC43B4" w:rsidRPr="00420EF7" w:rsidRDefault="00FC43B4" w:rsidP="00372680">
      <w:pPr>
        <w:ind w:left="567"/>
        <w:jc w:val="both"/>
        <w:rPr>
          <w:rFonts w:ascii="Arial" w:hAnsi="Arial" w:cs="Arial"/>
        </w:rPr>
      </w:pPr>
    </w:p>
    <w:p w:rsidR="00C13F88" w:rsidRDefault="00372680" w:rsidP="003A2A7C">
      <w:pPr>
        <w:jc w:val="both"/>
        <w:rPr>
          <w:rFonts w:ascii="Arial" w:hAnsi="Arial" w:cs="Arial"/>
        </w:rPr>
      </w:pPr>
      <w:r w:rsidRPr="00420EF7">
        <w:rPr>
          <w:rFonts w:ascii="Arial" w:hAnsi="Arial" w:cs="Arial"/>
        </w:rPr>
        <w:t xml:space="preserve">Insurers will also work with the </w:t>
      </w:r>
      <w:r>
        <w:rPr>
          <w:rFonts w:ascii="Arial" w:hAnsi="Arial" w:cs="Arial"/>
        </w:rPr>
        <w:t xml:space="preserve">employee and their employer to </w:t>
      </w:r>
      <w:r w:rsidRPr="00420EF7">
        <w:rPr>
          <w:rFonts w:ascii="Arial" w:hAnsi="Arial" w:cs="Arial"/>
        </w:rPr>
        <w:t>get them back to work as soon as it is appropriate</w:t>
      </w:r>
      <w:r w:rsidR="00BF5E33">
        <w:rPr>
          <w:rFonts w:ascii="Arial" w:hAnsi="Arial" w:cs="Arial"/>
        </w:rPr>
        <w:t xml:space="preserve">, often by providing </w:t>
      </w:r>
      <w:r w:rsidR="001D7D6A">
        <w:rPr>
          <w:rFonts w:ascii="Arial" w:hAnsi="Arial" w:cs="Arial"/>
        </w:rPr>
        <w:t xml:space="preserve">access to </w:t>
      </w:r>
      <w:r w:rsidR="00BF5E33">
        <w:rPr>
          <w:rFonts w:ascii="Arial" w:hAnsi="Arial" w:cs="Arial"/>
        </w:rPr>
        <w:t xml:space="preserve">help or </w:t>
      </w:r>
      <w:r w:rsidR="001D7D6A">
        <w:rPr>
          <w:rFonts w:ascii="Arial" w:hAnsi="Arial" w:cs="Arial"/>
        </w:rPr>
        <w:t xml:space="preserve">even </w:t>
      </w:r>
      <w:r w:rsidR="00BF5E33">
        <w:rPr>
          <w:rFonts w:ascii="Arial" w:hAnsi="Arial" w:cs="Arial"/>
        </w:rPr>
        <w:t>treatment</w:t>
      </w:r>
      <w:r w:rsidRPr="00420EF7">
        <w:rPr>
          <w:rFonts w:ascii="Arial" w:hAnsi="Arial" w:cs="Arial"/>
        </w:rPr>
        <w:t xml:space="preserve"> – e</w:t>
      </w:r>
      <w:r>
        <w:rPr>
          <w:rFonts w:ascii="Arial" w:hAnsi="Arial" w:cs="Arial"/>
        </w:rPr>
        <w:t>.</w:t>
      </w:r>
      <w:r w:rsidRPr="00420EF7">
        <w:rPr>
          <w:rFonts w:ascii="Arial" w:hAnsi="Arial" w:cs="Arial"/>
        </w:rPr>
        <w:t>g</w:t>
      </w:r>
      <w:r>
        <w:rPr>
          <w:rFonts w:ascii="Arial" w:hAnsi="Arial" w:cs="Arial"/>
        </w:rPr>
        <w:t>.</w:t>
      </w:r>
      <w:r w:rsidRPr="00420EF7">
        <w:rPr>
          <w:rFonts w:ascii="Arial" w:hAnsi="Arial" w:cs="Arial"/>
        </w:rPr>
        <w:t xml:space="preserve"> by provi</w:t>
      </w:r>
      <w:r>
        <w:rPr>
          <w:rFonts w:ascii="Arial" w:hAnsi="Arial" w:cs="Arial"/>
        </w:rPr>
        <w:t>ding access to physiotherapy</w:t>
      </w:r>
      <w:r w:rsidR="00BF5E33">
        <w:rPr>
          <w:rFonts w:ascii="Arial" w:hAnsi="Arial" w:cs="Arial"/>
        </w:rPr>
        <w:t xml:space="preserve"> or </w:t>
      </w:r>
      <w:r w:rsidR="00B20C8A">
        <w:rPr>
          <w:rFonts w:ascii="Arial" w:hAnsi="Arial" w:cs="Arial"/>
        </w:rPr>
        <w:t>talking therapies</w:t>
      </w:r>
      <w:r w:rsidR="00BF5E33">
        <w:rPr>
          <w:rFonts w:ascii="Arial" w:hAnsi="Arial" w:cs="Arial"/>
        </w:rPr>
        <w:t xml:space="preserve"> </w:t>
      </w:r>
      <w:r w:rsidR="00BF5E33" w:rsidRPr="00420EF7">
        <w:rPr>
          <w:rFonts w:ascii="Arial" w:hAnsi="Arial" w:cs="Arial"/>
        </w:rPr>
        <w:t>–</w:t>
      </w:r>
      <w:r w:rsidR="00BF5E33">
        <w:rPr>
          <w:rFonts w:ascii="Arial" w:hAnsi="Arial" w:cs="Arial"/>
        </w:rPr>
        <w:t xml:space="preserve"> </w:t>
      </w:r>
      <w:r w:rsidRPr="00420EF7">
        <w:rPr>
          <w:rFonts w:ascii="Arial" w:hAnsi="Arial" w:cs="Arial"/>
        </w:rPr>
        <w:t xml:space="preserve">which may not otherwise be available to the employer </w:t>
      </w:r>
      <w:r w:rsidR="008B640F">
        <w:rPr>
          <w:rFonts w:ascii="Arial" w:hAnsi="Arial" w:cs="Arial"/>
        </w:rPr>
        <w:t xml:space="preserve">or </w:t>
      </w:r>
      <w:r w:rsidRPr="00420EF7">
        <w:rPr>
          <w:rFonts w:ascii="Arial" w:hAnsi="Arial" w:cs="Arial"/>
        </w:rPr>
        <w:t>employee.</w:t>
      </w:r>
    </w:p>
    <w:p w:rsidR="00C13F88" w:rsidRDefault="00C13F88" w:rsidP="003A2A7C">
      <w:pPr>
        <w:ind w:left="567"/>
        <w:jc w:val="both"/>
        <w:rPr>
          <w:rFonts w:ascii="Arial" w:hAnsi="Arial" w:cs="Arial"/>
        </w:rPr>
      </w:pPr>
    </w:p>
    <w:p w:rsidR="00C13F88" w:rsidRPr="00FC43B4" w:rsidRDefault="00C13F88" w:rsidP="003A2A7C">
      <w:pPr>
        <w:jc w:val="both"/>
        <w:rPr>
          <w:rFonts w:ascii="Arial" w:hAnsi="Arial" w:cs="Arial"/>
        </w:rPr>
      </w:pPr>
      <w:r w:rsidRPr="00FC43B4">
        <w:rPr>
          <w:rFonts w:ascii="Arial" w:hAnsi="Arial" w:cs="Arial"/>
        </w:rPr>
        <w:t xml:space="preserve">Group </w:t>
      </w:r>
      <w:r w:rsidR="008B640F">
        <w:rPr>
          <w:rFonts w:ascii="Arial" w:hAnsi="Arial" w:cs="Arial"/>
        </w:rPr>
        <w:t>i</w:t>
      </w:r>
      <w:r w:rsidRPr="00FC43B4">
        <w:rPr>
          <w:rFonts w:ascii="Arial" w:hAnsi="Arial" w:cs="Arial"/>
        </w:rPr>
        <w:t xml:space="preserve">ncome </w:t>
      </w:r>
      <w:r w:rsidR="008B640F">
        <w:rPr>
          <w:rFonts w:ascii="Arial" w:hAnsi="Arial" w:cs="Arial"/>
        </w:rPr>
        <w:t>p</w:t>
      </w:r>
      <w:r w:rsidRPr="00FC43B4">
        <w:rPr>
          <w:rFonts w:ascii="Arial" w:hAnsi="Arial" w:cs="Arial"/>
        </w:rPr>
        <w:t xml:space="preserve">rotection can replace an ill-health early retirement promise following the closure of a </w:t>
      </w:r>
      <w:r w:rsidR="008B640F">
        <w:rPr>
          <w:rFonts w:ascii="Arial" w:hAnsi="Arial" w:cs="Arial"/>
        </w:rPr>
        <w:t>d</w:t>
      </w:r>
      <w:r w:rsidRPr="00FC43B4">
        <w:rPr>
          <w:rFonts w:ascii="Arial" w:hAnsi="Arial" w:cs="Arial"/>
        </w:rPr>
        <w:t xml:space="preserve">efined </w:t>
      </w:r>
      <w:r w:rsidR="008B640F">
        <w:rPr>
          <w:rFonts w:ascii="Arial" w:hAnsi="Arial" w:cs="Arial"/>
        </w:rPr>
        <w:t>b</w:t>
      </w:r>
      <w:r w:rsidRPr="00FC43B4">
        <w:rPr>
          <w:rFonts w:ascii="Arial" w:hAnsi="Arial" w:cs="Arial"/>
        </w:rPr>
        <w:t>enefit</w:t>
      </w:r>
      <w:r w:rsidR="008B640F">
        <w:rPr>
          <w:rFonts w:ascii="Arial" w:hAnsi="Arial" w:cs="Arial"/>
        </w:rPr>
        <w:t xml:space="preserve"> (final salary)</w:t>
      </w:r>
      <w:r w:rsidRPr="00FC43B4">
        <w:rPr>
          <w:rFonts w:ascii="Arial" w:hAnsi="Arial" w:cs="Arial"/>
        </w:rPr>
        <w:t xml:space="preserve"> pension scheme. It can maintain an employee’s financial resilience when illness or disability prevents them from working but it is also a business continuity tool, providing the support needed to get employees back to work in a timely manner. Where this is not possible, of course, it provides an employer with the financial advantages of having insured their liability to continue salary in the event of a long-term sickness absence.  </w:t>
      </w:r>
    </w:p>
    <w:p w:rsidR="00C13F88" w:rsidRPr="00FC43B4" w:rsidRDefault="00C13F88" w:rsidP="003A2A7C">
      <w:pPr>
        <w:jc w:val="both"/>
        <w:rPr>
          <w:rFonts w:ascii="Arial" w:hAnsi="Arial" w:cs="Arial"/>
        </w:rPr>
      </w:pPr>
    </w:p>
    <w:p w:rsidR="00372680" w:rsidRPr="00243541" w:rsidRDefault="001D7D6A" w:rsidP="003A2A7C">
      <w:pPr>
        <w:jc w:val="both"/>
        <w:rPr>
          <w:rFonts w:ascii="Arial" w:hAnsi="Arial" w:cs="Arial"/>
        </w:rPr>
      </w:pPr>
      <w:r>
        <w:rPr>
          <w:rFonts w:ascii="Arial" w:hAnsi="Arial" w:cs="Arial"/>
        </w:rPr>
        <w:t>17,4</w:t>
      </w:r>
      <w:r w:rsidR="00F8328F">
        <w:rPr>
          <w:rFonts w:ascii="Arial" w:hAnsi="Arial" w:cs="Arial"/>
        </w:rPr>
        <w:t>42</w:t>
      </w:r>
      <w:r w:rsidR="000C5934">
        <w:rPr>
          <w:rFonts w:ascii="Arial" w:hAnsi="Arial" w:cs="Arial"/>
        </w:rPr>
        <w:t xml:space="preserve"> </w:t>
      </w:r>
      <w:r w:rsidR="00A660DC">
        <w:rPr>
          <w:rFonts w:ascii="Arial" w:hAnsi="Arial" w:cs="Arial"/>
        </w:rPr>
        <w:t>policies</w:t>
      </w:r>
      <w:r w:rsidR="00372680">
        <w:rPr>
          <w:rFonts w:ascii="Arial" w:hAnsi="Arial" w:cs="Arial"/>
        </w:rPr>
        <w:t xml:space="preserve"> </w:t>
      </w:r>
      <w:r w:rsidR="00372680" w:rsidRPr="001B17C5">
        <w:rPr>
          <w:rFonts w:ascii="Arial" w:hAnsi="Arial" w:cs="Arial"/>
        </w:rPr>
        <w:t>cover</w:t>
      </w:r>
      <w:r w:rsidR="00372680">
        <w:rPr>
          <w:rFonts w:ascii="Arial" w:hAnsi="Arial" w:cs="Arial"/>
        </w:rPr>
        <w:t xml:space="preserve"> </w:t>
      </w:r>
      <w:r w:rsidR="00AC03DC">
        <w:rPr>
          <w:rFonts w:ascii="Arial" w:hAnsi="Arial" w:cs="Arial"/>
        </w:rPr>
        <w:t>2.4</w:t>
      </w:r>
      <w:r w:rsidR="00372680" w:rsidRPr="00243541">
        <w:rPr>
          <w:rFonts w:ascii="Arial" w:hAnsi="Arial" w:cs="Arial"/>
        </w:rPr>
        <w:t xml:space="preserve"> million people for </w:t>
      </w:r>
      <w:r w:rsidR="00372680">
        <w:rPr>
          <w:rFonts w:ascii="Arial" w:hAnsi="Arial" w:cs="Arial"/>
        </w:rPr>
        <w:t xml:space="preserve">annual </w:t>
      </w:r>
      <w:r w:rsidR="00372680" w:rsidRPr="00243541">
        <w:rPr>
          <w:rFonts w:ascii="Arial" w:hAnsi="Arial" w:cs="Arial"/>
        </w:rPr>
        <w:t xml:space="preserve">income protection benefits </w:t>
      </w:r>
      <w:r w:rsidR="00372680">
        <w:rPr>
          <w:rFonts w:ascii="Arial" w:hAnsi="Arial" w:cs="Arial"/>
        </w:rPr>
        <w:t>to</w:t>
      </w:r>
      <w:r w:rsidR="00372680" w:rsidRPr="00243541">
        <w:rPr>
          <w:rFonts w:ascii="Arial" w:hAnsi="Arial" w:cs="Arial"/>
        </w:rPr>
        <w:t xml:space="preserve">talling </w:t>
      </w:r>
      <w:r w:rsidR="00372680" w:rsidRPr="00A21CB3">
        <w:rPr>
          <w:rFonts w:ascii="Arial" w:hAnsi="Arial" w:cs="Arial"/>
        </w:rPr>
        <w:t>£</w:t>
      </w:r>
      <w:r w:rsidR="0073271B">
        <w:rPr>
          <w:rFonts w:ascii="Arial" w:hAnsi="Arial" w:cs="Arial"/>
        </w:rPr>
        <w:t>86.6</w:t>
      </w:r>
      <w:r w:rsidR="00372680" w:rsidRPr="00243541">
        <w:rPr>
          <w:rFonts w:ascii="Arial" w:hAnsi="Arial" w:cs="Arial"/>
        </w:rPr>
        <w:t xml:space="preserve"> billion</w:t>
      </w:r>
      <w:r w:rsidR="0073271B">
        <w:rPr>
          <w:rStyle w:val="FootnoteReference"/>
          <w:rFonts w:ascii="Arial" w:hAnsi="Arial" w:cs="Arial"/>
        </w:rPr>
        <w:footnoteReference w:id="5"/>
      </w:r>
      <w:r w:rsidR="00372680" w:rsidRPr="00243541">
        <w:rPr>
          <w:rFonts w:ascii="Arial" w:hAnsi="Arial" w:cs="Arial"/>
        </w:rPr>
        <w:t xml:space="preserve"> (</w:t>
      </w:r>
      <w:r w:rsidR="00DA433F">
        <w:rPr>
          <w:rFonts w:ascii="Arial" w:hAnsi="Arial" w:cs="Arial"/>
        </w:rPr>
        <w:t>80</w:t>
      </w:r>
      <w:r w:rsidR="00372680" w:rsidRPr="00243541">
        <w:rPr>
          <w:rFonts w:ascii="Arial" w:hAnsi="Arial" w:cs="Arial"/>
        </w:rPr>
        <w:t xml:space="preserve">% of all insured </w:t>
      </w:r>
      <w:smartTag w:uri="urn:schemas-microsoft-com:office:smarttags" w:element="place">
        <w:smartTag w:uri="urn:schemas-microsoft-com:office:smarttags" w:element="country-region">
          <w:r w:rsidR="00372680" w:rsidRPr="00243541">
            <w:rPr>
              <w:rFonts w:ascii="Arial" w:hAnsi="Arial" w:cs="Arial"/>
            </w:rPr>
            <w:t>UK</w:t>
          </w:r>
        </w:smartTag>
      </w:smartTag>
      <w:r w:rsidR="00372680" w:rsidRPr="00243541">
        <w:rPr>
          <w:rFonts w:ascii="Arial" w:hAnsi="Arial" w:cs="Arial"/>
        </w:rPr>
        <w:t xml:space="preserve"> income protection cover)</w:t>
      </w:r>
      <w:r w:rsidR="00372680" w:rsidRPr="00243541">
        <w:rPr>
          <w:rStyle w:val="FootnoteReference"/>
          <w:rFonts w:ascii="Arial" w:hAnsi="Arial" w:cs="Arial"/>
        </w:rPr>
        <w:footnoteReference w:id="6"/>
      </w:r>
      <w:r w:rsidR="00EA6978" w:rsidRPr="00ED17F5">
        <w:rPr>
          <w:rFonts w:ascii="Arial" w:hAnsi="Arial" w:cs="Arial"/>
        </w:rPr>
        <w:t>.</w:t>
      </w:r>
    </w:p>
    <w:p w:rsidR="00372680" w:rsidRPr="00243541" w:rsidRDefault="00372680" w:rsidP="003A2A7C">
      <w:pPr>
        <w:ind w:left="567"/>
        <w:jc w:val="both"/>
        <w:rPr>
          <w:rFonts w:ascii="Arial" w:hAnsi="Arial" w:cs="Arial"/>
        </w:rPr>
      </w:pPr>
    </w:p>
    <w:p w:rsidR="00372680" w:rsidRDefault="00372680" w:rsidP="003A2A7C">
      <w:pPr>
        <w:jc w:val="both"/>
        <w:rPr>
          <w:rFonts w:ascii="Arial" w:hAnsi="Arial" w:cs="Arial"/>
        </w:rPr>
      </w:pPr>
      <w:r w:rsidRPr="00243541">
        <w:rPr>
          <w:rFonts w:ascii="Arial" w:hAnsi="Arial" w:cs="Arial"/>
        </w:rPr>
        <w:t>The gro</w:t>
      </w:r>
      <w:r>
        <w:rPr>
          <w:rFonts w:ascii="Arial" w:hAnsi="Arial" w:cs="Arial"/>
        </w:rPr>
        <w:t>up risk industry paid out £</w:t>
      </w:r>
      <w:r w:rsidR="00E93065">
        <w:rPr>
          <w:rFonts w:ascii="Arial" w:hAnsi="Arial" w:cs="Arial"/>
        </w:rPr>
        <w:t>466.5</w:t>
      </w:r>
      <w:r>
        <w:rPr>
          <w:rFonts w:ascii="Arial" w:hAnsi="Arial" w:cs="Arial"/>
        </w:rPr>
        <w:t xml:space="preserve"> million in annual income protection benefits to a total of 1</w:t>
      </w:r>
      <w:r w:rsidR="00B57A24">
        <w:rPr>
          <w:rFonts w:ascii="Arial" w:hAnsi="Arial" w:cs="Arial"/>
        </w:rPr>
        <w:t xml:space="preserve">5,322 </w:t>
      </w:r>
      <w:r>
        <w:rPr>
          <w:rFonts w:ascii="Arial" w:hAnsi="Arial" w:cs="Arial"/>
        </w:rPr>
        <w:t>families during 201</w:t>
      </w:r>
      <w:r w:rsidR="00B57A24">
        <w:rPr>
          <w:rFonts w:ascii="Arial" w:hAnsi="Arial" w:cs="Arial"/>
        </w:rPr>
        <w:t>7</w:t>
      </w:r>
      <w:r w:rsidRPr="00243541">
        <w:rPr>
          <w:rFonts w:ascii="Arial" w:hAnsi="Arial" w:cs="Arial"/>
        </w:rPr>
        <w:t xml:space="preserve">, thus saving the State considerable burden, both before and after State Pension Age. </w:t>
      </w:r>
      <w:r>
        <w:rPr>
          <w:rFonts w:ascii="Arial" w:hAnsi="Arial" w:cs="Arial"/>
        </w:rPr>
        <w:t xml:space="preserve">The average </w:t>
      </w:r>
      <w:r w:rsidR="00B57A24">
        <w:rPr>
          <w:rFonts w:ascii="Arial" w:hAnsi="Arial" w:cs="Arial"/>
        </w:rPr>
        <w:t xml:space="preserve">new </w:t>
      </w:r>
      <w:r>
        <w:rPr>
          <w:rFonts w:ascii="Arial" w:hAnsi="Arial" w:cs="Arial"/>
        </w:rPr>
        <w:t xml:space="preserve">claim </w:t>
      </w:r>
      <w:r w:rsidR="00B57A24">
        <w:rPr>
          <w:rFonts w:ascii="Arial" w:hAnsi="Arial" w:cs="Arial"/>
        </w:rPr>
        <w:t xml:space="preserve">amount </w:t>
      </w:r>
      <w:r>
        <w:rPr>
          <w:rFonts w:ascii="Arial" w:hAnsi="Arial" w:cs="Arial"/>
        </w:rPr>
        <w:t>was £</w:t>
      </w:r>
      <w:r w:rsidR="00B57A24">
        <w:rPr>
          <w:rFonts w:ascii="Arial" w:hAnsi="Arial" w:cs="Arial"/>
        </w:rPr>
        <w:t>24,257</w:t>
      </w:r>
      <w:r w:rsidRPr="00243541">
        <w:rPr>
          <w:rFonts w:ascii="Arial" w:hAnsi="Arial" w:cs="Arial"/>
        </w:rPr>
        <w:t xml:space="preserve"> pa</w:t>
      </w:r>
      <w:r w:rsidRPr="00243541">
        <w:rPr>
          <w:rStyle w:val="FootnoteReference"/>
          <w:rFonts w:ascii="Arial" w:hAnsi="Arial" w:cs="Arial"/>
        </w:rPr>
        <w:footnoteReference w:id="7"/>
      </w:r>
      <w:r w:rsidR="00227E15">
        <w:rPr>
          <w:rFonts w:ascii="Arial" w:hAnsi="Arial" w:cs="Arial"/>
        </w:rPr>
        <w:t>.</w:t>
      </w:r>
      <w:r w:rsidR="00B57A24">
        <w:rPr>
          <w:rFonts w:ascii="Arial" w:hAnsi="Arial" w:cs="Arial"/>
        </w:rPr>
        <w:t xml:space="preserve"> These figures represent one year’s worth of benefit payment but group income protection claims are often paid for several or many years so the ultimate value of these benefits will be much higher than those stated.</w:t>
      </w:r>
    </w:p>
    <w:p w:rsidR="00CB5CE8" w:rsidRDefault="00CB5CE8" w:rsidP="00712140">
      <w:pPr>
        <w:pStyle w:val="NoSpacing"/>
        <w:jc w:val="both"/>
        <w:rPr>
          <w:rFonts w:ascii="Arial" w:eastAsia="Times New Roman" w:hAnsi="Arial" w:cs="Arial"/>
          <w:sz w:val="24"/>
          <w:szCs w:val="24"/>
          <w:lang w:eastAsia="en-GB"/>
        </w:rPr>
      </w:pPr>
    </w:p>
    <w:p w:rsidR="00712140" w:rsidRPr="00772CA3" w:rsidRDefault="00712140" w:rsidP="00712140">
      <w:pPr>
        <w:pStyle w:val="NoSpacing"/>
        <w:jc w:val="both"/>
        <w:rPr>
          <w:rFonts w:ascii="Arial" w:eastAsia="Times New Roman" w:hAnsi="Arial" w:cs="Arial"/>
          <w:sz w:val="24"/>
          <w:szCs w:val="24"/>
          <w:lang w:eastAsia="en-GB"/>
        </w:rPr>
      </w:pPr>
      <w:r w:rsidRPr="00772CA3">
        <w:rPr>
          <w:rFonts w:ascii="Arial" w:eastAsia="Times New Roman" w:hAnsi="Arial" w:cs="Arial"/>
          <w:sz w:val="24"/>
          <w:szCs w:val="24"/>
          <w:lang w:eastAsia="en-GB"/>
        </w:rPr>
        <w:t>For group income protection, as well as the claims paid, many people are helped back to work both before and after a claim becomes payable, with the support of the insurer.</w:t>
      </w:r>
    </w:p>
    <w:p w:rsidR="00712140" w:rsidRPr="00772CA3" w:rsidRDefault="00712140" w:rsidP="00712140">
      <w:pPr>
        <w:pStyle w:val="NoSpacing"/>
        <w:jc w:val="both"/>
        <w:rPr>
          <w:rFonts w:ascii="Arial" w:eastAsia="Times New Roman" w:hAnsi="Arial" w:cs="Arial"/>
          <w:sz w:val="24"/>
          <w:szCs w:val="24"/>
          <w:lang w:eastAsia="en-GB"/>
        </w:rPr>
      </w:pPr>
    </w:p>
    <w:p w:rsidR="00712140" w:rsidRPr="00772CA3" w:rsidRDefault="00712140" w:rsidP="00712140">
      <w:pPr>
        <w:pStyle w:val="NoSpacing"/>
        <w:jc w:val="both"/>
        <w:rPr>
          <w:rFonts w:ascii="Arial" w:eastAsia="Times New Roman" w:hAnsi="Arial" w:cs="Arial"/>
          <w:sz w:val="24"/>
          <w:szCs w:val="24"/>
          <w:lang w:eastAsia="en-GB"/>
        </w:rPr>
      </w:pPr>
      <w:r w:rsidRPr="00772CA3">
        <w:rPr>
          <w:rFonts w:ascii="Arial" w:eastAsia="Times New Roman" w:hAnsi="Arial" w:cs="Arial"/>
          <w:sz w:val="24"/>
          <w:szCs w:val="24"/>
          <w:lang w:eastAsia="en-GB"/>
        </w:rPr>
        <w:t xml:space="preserve">2,989 people </w:t>
      </w:r>
      <w:r w:rsidR="0002542F">
        <w:rPr>
          <w:rFonts w:ascii="Arial" w:eastAsia="Times New Roman" w:hAnsi="Arial" w:cs="Arial"/>
          <w:sz w:val="24"/>
          <w:szCs w:val="24"/>
          <w:lang w:eastAsia="en-GB"/>
        </w:rPr>
        <w:t xml:space="preserve">(33.1% of all claims submitted) </w:t>
      </w:r>
      <w:r w:rsidRPr="00772CA3">
        <w:rPr>
          <w:rFonts w:ascii="Arial" w:eastAsia="Times New Roman" w:hAnsi="Arial" w:cs="Arial"/>
          <w:sz w:val="24"/>
          <w:szCs w:val="24"/>
          <w:lang w:eastAsia="en-GB"/>
        </w:rPr>
        <w:t>were helped back to work during 2017 through an early intervention initiated and often paid for by a group risk insurer, such as fast-track access to counselling, physiotherapy or other treatment. 52% of these people had help overcoming mental illness and 17% had support overcoming a musculoskeletal condition</w:t>
      </w:r>
      <w:r w:rsidR="00CB5CE8" w:rsidRPr="00CB5CE8">
        <w:rPr>
          <w:rStyle w:val="FootnoteReference"/>
          <w:rFonts w:ascii="Arial" w:hAnsi="Arial" w:cs="Arial"/>
        </w:rPr>
        <w:t xml:space="preserve"> </w:t>
      </w:r>
      <w:r w:rsidR="00683D44">
        <w:rPr>
          <w:rStyle w:val="FootnoteReference"/>
          <w:rFonts w:ascii="Arial" w:hAnsi="Arial" w:cs="Arial"/>
        </w:rPr>
        <w:t>7</w:t>
      </w:r>
      <w:r w:rsidR="00C24F7A">
        <w:rPr>
          <w:rFonts w:ascii="Arial" w:hAnsi="Arial" w:cs="Arial"/>
        </w:rPr>
        <w:t>.</w:t>
      </w:r>
    </w:p>
    <w:p w:rsidR="00712140" w:rsidRPr="00772CA3" w:rsidRDefault="00712140" w:rsidP="00712140">
      <w:pPr>
        <w:pStyle w:val="NoSpacing"/>
        <w:jc w:val="both"/>
        <w:rPr>
          <w:rFonts w:ascii="Arial" w:eastAsia="Times New Roman" w:hAnsi="Arial" w:cs="Arial"/>
          <w:sz w:val="24"/>
          <w:szCs w:val="24"/>
          <w:lang w:eastAsia="en-GB"/>
        </w:rPr>
      </w:pPr>
    </w:p>
    <w:p w:rsidR="00712140" w:rsidRPr="00356DF1" w:rsidRDefault="00712140" w:rsidP="00356DF1">
      <w:pPr>
        <w:pStyle w:val="NoSpacing"/>
        <w:jc w:val="both"/>
        <w:rPr>
          <w:rFonts w:ascii="Arial" w:eastAsia="Times New Roman" w:hAnsi="Arial" w:cs="Arial"/>
          <w:sz w:val="24"/>
          <w:szCs w:val="24"/>
          <w:lang w:eastAsia="en-GB"/>
        </w:rPr>
      </w:pPr>
      <w:r w:rsidRPr="00772CA3">
        <w:rPr>
          <w:rFonts w:ascii="Arial" w:eastAsia="Times New Roman" w:hAnsi="Arial" w:cs="Arial"/>
          <w:sz w:val="24"/>
          <w:szCs w:val="24"/>
          <w:lang w:eastAsia="en-GB"/>
        </w:rPr>
        <w:t>On top of this, out of the 5,255 group income protection claims that went into payment during 2016, 1,955 people were helped by the insurer to make a full return to work during that year or during 2017</w:t>
      </w:r>
      <w:r w:rsidR="000F342E">
        <w:rPr>
          <w:rStyle w:val="FootnoteReference"/>
          <w:rFonts w:ascii="Arial" w:hAnsi="Arial" w:cs="Arial"/>
        </w:rPr>
        <w:t>7</w:t>
      </w:r>
      <w:r w:rsidR="00CC73C3">
        <w:rPr>
          <w:rFonts w:ascii="Arial" w:hAnsi="Arial" w:cs="Arial"/>
        </w:rPr>
        <w:t>.</w:t>
      </w:r>
      <w:r w:rsidRPr="00772CA3">
        <w:rPr>
          <w:rFonts w:ascii="Arial" w:eastAsia="Times New Roman" w:hAnsi="Arial" w:cs="Arial"/>
          <w:sz w:val="24"/>
          <w:szCs w:val="24"/>
          <w:lang w:eastAsia="en-GB"/>
        </w:rPr>
        <w:t xml:space="preserve"> This shows that even once a group income protection claim is in payment, help and support back to work continues</w:t>
      </w:r>
      <w:r>
        <w:rPr>
          <w:rFonts w:ascii="Arial" w:eastAsia="Times New Roman" w:hAnsi="Arial" w:cs="Arial"/>
          <w:sz w:val="24"/>
          <w:szCs w:val="24"/>
          <w:lang w:eastAsia="en-GB"/>
        </w:rPr>
        <w:t xml:space="preserve"> and </w:t>
      </w:r>
      <w:r w:rsidRPr="00772CA3">
        <w:rPr>
          <w:rFonts w:ascii="Arial" w:eastAsia="Times New Roman" w:hAnsi="Arial" w:cs="Arial"/>
          <w:sz w:val="24"/>
          <w:szCs w:val="24"/>
          <w:lang w:eastAsia="en-GB"/>
        </w:rPr>
        <w:t>people are not forgotten.</w:t>
      </w:r>
    </w:p>
    <w:p w:rsidR="00372680" w:rsidRDefault="00372680" w:rsidP="003A2A7C">
      <w:pPr>
        <w:ind w:left="567"/>
        <w:jc w:val="both"/>
        <w:rPr>
          <w:rFonts w:ascii="Arial" w:hAnsi="Arial" w:cs="Arial"/>
        </w:rPr>
      </w:pPr>
    </w:p>
    <w:p w:rsidR="004A6ADE" w:rsidRPr="00485A96" w:rsidRDefault="00372680" w:rsidP="00FF419F">
      <w:pPr>
        <w:jc w:val="both"/>
        <w:rPr>
          <w:rFonts w:ascii="Arial" w:hAnsi="Arial" w:cs="Arial"/>
          <w:b/>
          <w:color w:val="7030A0"/>
        </w:rPr>
      </w:pPr>
      <w:r w:rsidRPr="00485A96">
        <w:rPr>
          <w:rFonts w:ascii="Arial" w:hAnsi="Arial" w:cs="Arial"/>
          <w:b/>
          <w:color w:val="7030A0"/>
        </w:rPr>
        <w:t>Group Critical Illness</w:t>
      </w:r>
    </w:p>
    <w:p w:rsidR="00372680" w:rsidRPr="00ED4D30" w:rsidRDefault="004A6ADE" w:rsidP="00FF419F">
      <w:pPr>
        <w:jc w:val="both"/>
        <w:rPr>
          <w:b/>
        </w:rPr>
      </w:pPr>
      <w:r>
        <w:rPr>
          <w:rFonts w:ascii="Arial" w:hAnsi="Arial" w:cs="Arial"/>
        </w:rPr>
        <w:t>A</w:t>
      </w:r>
      <w:r w:rsidR="00372680">
        <w:rPr>
          <w:rFonts w:ascii="Arial" w:hAnsi="Arial" w:cs="Arial"/>
        </w:rPr>
        <w:t xml:space="preserve"> policy taken out by an employer to provide </w:t>
      </w:r>
      <w:r w:rsidR="00372680" w:rsidRPr="00ED4D30">
        <w:rPr>
          <w:rFonts w:ascii="Arial" w:hAnsi="Arial" w:cs="Arial"/>
        </w:rPr>
        <w:t>a tax free lump sum to an employee on the diagnosis of one of a defined list of serious conditions or on undergoing one of a defined list of surgical procedures. There is usually a choice of base or core cover (which insures against some of the most serious critical illnesses) or base/core plus additional cover (which insures against a number of additional serious conditions too).</w:t>
      </w:r>
    </w:p>
    <w:p w:rsidR="00372680" w:rsidRPr="00ED4D30" w:rsidRDefault="00372680" w:rsidP="00372680">
      <w:pPr>
        <w:rPr>
          <w:b/>
        </w:rPr>
      </w:pPr>
    </w:p>
    <w:p w:rsidR="00372680" w:rsidRDefault="00372680" w:rsidP="004A6ADE">
      <w:pPr>
        <w:jc w:val="both"/>
        <w:rPr>
          <w:rFonts w:ascii="Arial" w:hAnsi="Arial" w:cs="Arial"/>
        </w:rPr>
      </w:pPr>
      <w:r w:rsidRPr="00ED4D30">
        <w:rPr>
          <w:rFonts w:ascii="Arial" w:hAnsi="Arial" w:cs="Arial"/>
        </w:rPr>
        <w:t>The benefit is paid once the employee has survived for a specified period (14, 28 or 30 days). Most insurers will also offer the option of a benefit for a covered employee who is assessed as being permanently and totally disabled but not otherwise able to claim for one of the conditions covered by the policy, in which case, the employee usually needs to have been permanently and totally disabled for more than 6 months.</w:t>
      </w:r>
    </w:p>
    <w:p w:rsidR="00372680" w:rsidRPr="00ED4D30" w:rsidRDefault="00372680" w:rsidP="00372680">
      <w:pPr>
        <w:ind w:left="567"/>
        <w:jc w:val="both"/>
        <w:rPr>
          <w:rFonts w:ascii="Arial" w:hAnsi="Arial" w:cs="Arial"/>
        </w:rPr>
      </w:pPr>
    </w:p>
    <w:p w:rsidR="00F8711F" w:rsidRDefault="00372680" w:rsidP="004A6ADE">
      <w:pPr>
        <w:jc w:val="both"/>
        <w:rPr>
          <w:rFonts w:ascii="Arial" w:hAnsi="Arial" w:cs="Arial"/>
        </w:rPr>
      </w:pPr>
      <w:r w:rsidRPr="00ED4D30">
        <w:rPr>
          <w:rFonts w:ascii="Arial" w:hAnsi="Arial" w:cs="Arial"/>
        </w:rPr>
        <w:t>Where cover is paid for by the employer</w:t>
      </w:r>
      <w:r>
        <w:rPr>
          <w:rFonts w:ascii="Arial" w:hAnsi="Arial" w:cs="Arial"/>
        </w:rPr>
        <w:t>,</w:t>
      </w:r>
      <w:r w:rsidRPr="00ED4D30">
        <w:rPr>
          <w:rFonts w:ascii="Arial" w:hAnsi="Arial" w:cs="Arial"/>
        </w:rPr>
        <w:t xml:space="preserve"> corporation tax relief is given on the premiums, the employer is liable for Class 1A National Insurance contributions on the premiums and premiums are treated as a P11D benefit for employees.</w:t>
      </w:r>
    </w:p>
    <w:p w:rsidR="00F8711F" w:rsidRDefault="00F8711F" w:rsidP="00F8711F">
      <w:pPr>
        <w:ind w:left="567"/>
        <w:jc w:val="both"/>
        <w:rPr>
          <w:rFonts w:ascii="Arial" w:hAnsi="Arial" w:cs="Arial"/>
        </w:rPr>
      </w:pPr>
    </w:p>
    <w:p w:rsidR="00F8711F" w:rsidRPr="00FC43B4" w:rsidRDefault="00F8711F" w:rsidP="004A6ADE">
      <w:pPr>
        <w:jc w:val="both"/>
        <w:rPr>
          <w:rFonts w:ascii="Arial" w:hAnsi="Arial" w:cs="Arial"/>
        </w:rPr>
      </w:pPr>
      <w:r w:rsidRPr="00FC43B4">
        <w:rPr>
          <w:rFonts w:ascii="Arial" w:hAnsi="Arial" w:cs="Arial"/>
        </w:rPr>
        <w:t xml:space="preserve">A </w:t>
      </w:r>
      <w:r w:rsidR="008B6048">
        <w:rPr>
          <w:rFonts w:ascii="Arial" w:hAnsi="Arial" w:cs="Arial"/>
        </w:rPr>
        <w:t>g</w:t>
      </w:r>
      <w:r w:rsidRPr="00FC43B4">
        <w:rPr>
          <w:rFonts w:ascii="Arial" w:hAnsi="Arial" w:cs="Arial"/>
        </w:rPr>
        <w:t xml:space="preserve">roup </w:t>
      </w:r>
      <w:r w:rsidR="008B6048">
        <w:rPr>
          <w:rFonts w:ascii="Arial" w:hAnsi="Arial" w:cs="Arial"/>
        </w:rPr>
        <w:t>c</w:t>
      </w:r>
      <w:r w:rsidRPr="00FC43B4">
        <w:rPr>
          <w:rFonts w:ascii="Arial" w:hAnsi="Arial" w:cs="Arial"/>
        </w:rPr>
        <w:t xml:space="preserve">ritical </w:t>
      </w:r>
      <w:r w:rsidR="008B6048">
        <w:rPr>
          <w:rFonts w:ascii="Arial" w:hAnsi="Arial" w:cs="Arial"/>
        </w:rPr>
        <w:t>i</w:t>
      </w:r>
      <w:r w:rsidRPr="00FC43B4">
        <w:rPr>
          <w:rFonts w:ascii="Arial" w:hAnsi="Arial" w:cs="Arial"/>
        </w:rPr>
        <w:t>llness pay</w:t>
      </w:r>
      <w:r w:rsidR="004A6ADE">
        <w:rPr>
          <w:rFonts w:ascii="Arial" w:hAnsi="Arial" w:cs="Arial"/>
        </w:rPr>
        <w:t>-</w:t>
      </w:r>
      <w:r w:rsidRPr="00FC43B4">
        <w:rPr>
          <w:rFonts w:ascii="Arial" w:hAnsi="Arial" w:cs="Arial"/>
        </w:rPr>
        <w:t xml:space="preserve">out can supplement sick pay or </w:t>
      </w:r>
      <w:r w:rsidR="00873CC5">
        <w:rPr>
          <w:rFonts w:ascii="Arial" w:hAnsi="Arial" w:cs="Arial"/>
        </w:rPr>
        <w:t>may be used to</w:t>
      </w:r>
      <w:r w:rsidR="00124599">
        <w:rPr>
          <w:rFonts w:ascii="Arial" w:hAnsi="Arial" w:cs="Arial"/>
        </w:rPr>
        <w:t xml:space="preserve"> cover the </w:t>
      </w:r>
      <w:r w:rsidRPr="00FC43B4">
        <w:rPr>
          <w:rFonts w:ascii="Arial" w:hAnsi="Arial" w:cs="Arial"/>
        </w:rPr>
        <w:t>cost of cancer drugs</w:t>
      </w:r>
      <w:r w:rsidR="008B6048">
        <w:rPr>
          <w:rFonts w:ascii="Arial" w:hAnsi="Arial" w:cs="Arial"/>
        </w:rPr>
        <w:t xml:space="preserve">, </w:t>
      </w:r>
      <w:r w:rsidR="00124599">
        <w:rPr>
          <w:rFonts w:ascii="Arial" w:hAnsi="Arial" w:cs="Arial"/>
        </w:rPr>
        <w:t xml:space="preserve">palliative </w:t>
      </w:r>
      <w:r w:rsidR="008B6048">
        <w:rPr>
          <w:rFonts w:ascii="Arial" w:hAnsi="Arial" w:cs="Arial"/>
        </w:rPr>
        <w:t xml:space="preserve">care or home </w:t>
      </w:r>
      <w:r w:rsidR="004208EC">
        <w:rPr>
          <w:rFonts w:ascii="Arial" w:hAnsi="Arial" w:cs="Arial"/>
        </w:rPr>
        <w:t>adaptations</w:t>
      </w:r>
      <w:r w:rsidRPr="00FC43B4">
        <w:rPr>
          <w:rFonts w:ascii="Arial" w:hAnsi="Arial" w:cs="Arial"/>
        </w:rPr>
        <w:t>.</w:t>
      </w:r>
    </w:p>
    <w:p w:rsidR="00FF419F" w:rsidRDefault="00FF419F" w:rsidP="004A6ADE">
      <w:pPr>
        <w:jc w:val="both"/>
        <w:rPr>
          <w:rFonts w:ascii="Arial" w:hAnsi="Arial" w:cs="Arial"/>
        </w:rPr>
      </w:pPr>
    </w:p>
    <w:p w:rsidR="00372680" w:rsidRDefault="00CD0599" w:rsidP="004A6ADE">
      <w:pPr>
        <w:jc w:val="both"/>
        <w:rPr>
          <w:rFonts w:ascii="Arial" w:hAnsi="Arial" w:cs="Arial"/>
        </w:rPr>
      </w:pPr>
      <w:r>
        <w:rPr>
          <w:rFonts w:ascii="Arial" w:hAnsi="Arial" w:cs="Arial"/>
        </w:rPr>
        <w:t>3,679</w:t>
      </w:r>
      <w:r w:rsidR="00372680">
        <w:rPr>
          <w:rFonts w:ascii="Arial" w:hAnsi="Arial" w:cs="Arial"/>
        </w:rPr>
        <w:t xml:space="preserve"> </w:t>
      </w:r>
      <w:r w:rsidR="00A660DC">
        <w:rPr>
          <w:rFonts w:ascii="Arial" w:hAnsi="Arial" w:cs="Arial"/>
        </w:rPr>
        <w:t>policies</w:t>
      </w:r>
      <w:r w:rsidR="00372680">
        <w:rPr>
          <w:rFonts w:ascii="Arial" w:hAnsi="Arial" w:cs="Arial"/>
        </w:rPr>
        <w:t xml:space="preserve"> cover </w:t>
      </w:r>
      <w:r>
        <w:rPr>
          <w:rFonts w:ascii="Arial" w:hAnsi="Arial" w:cs="Arial"/>
        </w:rPr>
        <w:t>571,848</w:t>
      </w:r>
      <w:r w:rsidR="00372680">
        <w:rPr>
          <w:rFonts w:ascii="Arial" w:hAnsi="Arial" w:cs="Arial"/>
        </w:rPr>
        <w:t xml:space="preserve"> people for critical illness</w:t>
      </w:r>
      <w:r w:rsidR="00372680" w:rsidRPr="00243541">
        <w:rPr>
          <w:rFonts w:ascii="Arial" w:hAnsi="Arial" w:cs="Arial"/>
        </w:rPr>
        <w:t xml:space="preserve"> benefits </w:t>
      </w:r>
      <w:r w:rsidR="00372680">
        <w:rPr>
          <w:rFonts w:ascii="Arial" w:hAnsi="Arial" w:cs="Arial"/>
        </w:rPr>
        <w:t>to</w:t>
      </w:r>
      <w:r w:rsidR="00372680" w:rsidRPr="00243541">
        <w:rPr>
          <w:rFonts w:ascii="Arial" w:hAnsi="Arial" w:cs="Arial"/>
        </w:rPr>
        <w:t xml:space="preserve">talling </w:t>
      </w:r>
      <w:r w:rsidR="00372680" w:rsidRPr="00541A9A">
        <w:rPr>
          <w:rFonts w:ascii="Arial" w:hAnsi="Arial" w:cs="Arial"/>
        </w:rPr>
        <w:t>£</w:t>
      </w:r>
      <w:r w:rsidR="00A660DC">
        <w:rPr>
          <w:rFonts w:ascii="Arial" w:hAnsi="Arial" w:cs="Arial"/>
        </w:rPr>
        <w:t>37.</w:t>
      </w:r>
      <w:r w:rsidR="00B90F52">
        <w:rPr>
          <w:rFonts w:ascii="Arial" w:hAnsi="Arial" w:cs="Arial"/>
        </w:rPr>
        <w:t>3</w:t>
      </w:r>
      <w:r w:rsidR="00372680" w:rsidRPr="00243541">
        <w:rPr>
          <w:rFonts w:ascii="Arial" w:hAnsi="Arial" w:cs="Arial"/>
        </w:rPr>
        <w:t xml:space="preserve"> billion</w:t>
      </w:r>
      <w:r w:rsidR="000F342E">
        <w:rPr>
          <w:rStyle w:val="FootnoteReference"/>
          <w:rFonts w:ascii="Arial" w:hAnsi="Arial" w:cs="Arial"/>
        </w:rPr>
        <w:footnoteReference w:id="8"/>
      </w:r>
      <w:r w:rsidR="001B649C">
        <w:rPr>
          <w:rFonts w:ascii="Arial" w:hAnsi="Arial" w:cs="Arial"/>
        </w:rPr>
        <w:t>.</w:t>
      </w:r>
      <w:r w:rsidR="00372680">
        <w:rPr>
          <w:rFonts w:ascii="Arial" w:hAnsi="Arial" w:cs="Arial"/>
        </w:rPr>
        <w:t xml:space="preserve">  (Please note that this is still a relatively new product when compared with group life </w:t>
      </w:r>
      <w:r w:rsidR="006D13BA">
        <w:rPr>
          <w:rFonts w:ascii="Arial" w:hAnsi="Arial" w:cs="Arial"/>
        </w:rPr>
        <w:t xml:space="preserve">assurance </w:t>
      </w:r>
      <w:r w:rsidR="00372680">
        <w:rPr>
          <w:rFonts w:ascii="Arial" w:hAnsi="Arial" w:cs="Arial"/>
        </w:rPr>
        <w:t>and group income protection so the coverage is not yet as extensive.)</w:t>
      </w:r>
    </w:p>
    <w:p w:rsidR="00CD0599" w:rsidRDefault="00CD0599" w:rsidP="004A6ADE">
      <w:pPr>
        <w:jc w:val="both"/>
        <w:rPr>
          <w:rFonts w:ascii="Arial" w:hAnsi="Arial" w:cs="Arial"/>
        </w:rPr>
      </w:pPr>
    </w:p>
    <w:p w:rsidR="00372680" w:rsidRDefault="00372680" w:rsidP="004A6ADE">
      <w:pPr>
        <w:jc w:val="both"/>
        <w:rPr>
          <w:rFonts w:ascii="Arial" w:hAnsi="Arial" w:cs="Arial"/>
        </w:rPr>
      </w:pPr>
      <w:r w:rsidRPr="00243541">
        <w:rPr>
          <w:rFonts w:ascii="Arial" w:hAnsi="Arial" w:cs="Arial"/>
        </w:rPr>
        <w:t>The gro</w:t>
      </w:r>
      <w:r>
        <w:rPr>
          <w:rFonts w:ascii="Arial" w:hAnsi="Arial" w:cs="Arial"/>
        </w:rPr>
        <w:t>up risk industry paid out £</w:t>
      </w:r>
      <w:r w:rsidR="00B90F52">
        <w:rPr>
          <w:rFonts w:ascii="Arial" w:hAnsi="Arial" w:cs="Arial"/>
        </w:rPr>
        <w:t>84.3</w:t>
      </w:r>
      <w:r>
        <w:rPr>
          <w:rFonts w:ascii="Arial" w:hAnsi="Arial" w:cs="Arial"/>
        </w:rPr>
        <w:t xml:space="preserve"> million in critical illness benefits to a total of </w:t>
      </w:r>
      <w:r w:rsidR="00B90F52">
        <w:rPr>
          <w:rFonts w:ascii="Arial" w:hAnsi="Arial" w:cs="Arial"/>
        </w:rPr>
        <w:t>1,180</w:t>
      </w:r>
      <w:r>
        <w:rPr>
          <w:rFonts w:ascii="Arial" w:hAnsi="Arial" w:cs="Arial"/>
        </w:rPr>
        <w:t xml:space="preserve"> </w:t>
      </w:r>
      <w:r w:rsidR="00A06A2E">
        <w:rPr>
          <w:rFonts w:ascii="Arial" w:hAnsi="Arial" w:cs="Arial"/>
        </w:rPr>
        <w:t>people</w:t>
      </w:r>
      <w:r>
        <w:rPr>
          <w:rFonts w:ascii="Arial" w:hAnsi="Arial" w:cs="Arial"/>
        </w:rPr>
        <w:t xml:space="preserve"> during 201</w:t>
      </w:r>
      <w:r w:rsidR="00B90F52">
        <w:rPr>
          <w:rFonts w:ascii="Arial" w:hAnsi="Arial" w:cs="Arial"/>
        </w:rPr>
        <w:t>7</w:t>
      </w:r>
      <w:r w:rsidRPr="00243541">
        <w:rPr>
          <w:rFonts w:ascii="Arial" w:hAnsi="Arial" w:cs="Arial"/>
        </w:rPr>
        <w:t xml:space="preserve">. </w:t>
      </w:r>
      <w:r>
        <w:rPr>
          <w:rFonts w:ascii="Arial" w:hAnsi="Arial" w:cs="Arial"/>
        </w:rPr>
        <w:t>The average claim was £</w:t>
      </w:r>
      <w:r w:rsidR="00B90F52">
        <w:rPr>
          <w:rFonts w:ascii="Arial" w:hAnsi="Arial" w:cs="Arial"/>
        </w:rPr>
        <w:t>71,463</w:t>
      </w:r>
      <w:r w:rsidRPr="00243541">
        <w:rPr>
          <w:rStyle w:val="FootnoteReference"/>
          <w:rFonts w:ascii="Arial" w:hAnsi="Arial" w:cs="Arial"/>
        </w:rPr>
        <w:footnoteReference w:id="9"/>
      </w:r>
      <w:r w:rsidR="00CC73C3">
        <w:rPr>
          <w:rFonts w:ascii="Arial" w:hAnsi="Arial" w:cs="Arial"/>
        </w:rPr>
        <w:t>.</w:t>
      </w:r>
      <w:r>
        <w:rPr>
          <w:rFonts w:ascii="Arial" w:hAnsi="Arial" w:cs="Arial"/>
        </w:rPr>
        <w:t xml:space="preserve">  </w:t>
      </w:r>
    </w:p>
    <w:p w:rsidR="00FF4E86" w:rsidRDefault="00FF4E86" w:rsidP="00C34587">
      <w:pPr>
        <w:pStyle w:val="NoSpacing"/>
        <w:jc w:val="both"/>
        <w:rPr>
          <w:rFonts w:ascii="Arial" w:hAnsi="Arial" w:cs="Arial"/>
          <w:b/>
          <w:sz w:val="24"/>
          <w:szCs w:val="24"/>
        </w:rPr>
      </w:pPr>
    </w:p>
    <w:p w:rsidR="00C34587" w:rsidRPr="00485A96" w:rsidRDefault="00C34587" w:rsidP="00C34587">
      <w:pPr>
        <w:pStyle w:val="NoSpacing"/>
        <w:jc w:val="both"/>
        <w:rPr>
          <w:rFonts w:ascii="Arial" w:hAnsi="Arial" w:cs="Arial"/>
          <w:b/>
          <w:color w:val="7030A0"/>
          <w:sz w:val="24"/>
          <w:szCs w:val="24"/>
        </w:rPr>
      </w:pPr>
      <w:r w:rsidRPr="00485A96">
        <w:rPr>
          <w:rFonts w:ascii="Arial" w:hAnsi="Arial" w:cs="Arial"/>
          <w:b/>
          <w:color w:val="7030A0"/>
          <w:sz w:val="24"/>
          <w:szCs w:val="24"/>
        </w:rPr>
        <w:t>Everyday help and support</w:t>
      </w:r>
    </w:p>
    <w:p w:rsidR="00C34587" w:rsidRDefault="008634AD" w:rsidP="00C34587">
      <w:pPr>
        <w:pStyle w:val="NoSpacing"/>
        <w:jc w:val="both"/>
        <w:rPr>
          <w:rFonts w:ascii="Arial" w:hAnsi="Arial" w:cs="Arial"/>
          <w:sz w:val="24"/>
          <w:szCs w:val="24"/>
        </w:rPr>
      </w:pPr>
      <w:r>
        <w:rPr>
          <w:rFonts w:ascii="Arial" w:hAnsi="Arial" w:cs="Arial"/>
          <w:sz w:val="24"/>
          <w:szCs w:val="24"/>
        </w:rPr>
        <w:t>As well as meeting claims, g</w:t>
      </w:r>
      <w:r w:rsidR="00C34587">
        <w:rPr>
          <w:rFonts w:ascii="Arial" w:hAnsi="Arial" w:cs="Arial"/>
          <w:sz w:val="24"/>
          <w:szCs w:val="24"/>
        </w:rPr>
        <w:t xml:space="preserve">roup risk providers also </w:t>
      </w:r>
      <w:r w:rsidR="00C34587" w:rsidRPr="00041BB2">
        <w:rPr>
          <w:rFonts w:ascii="Arial" w:hAnsi="Arial" w:cs="Arial"/>
          <w:sz w:val="24"/>
          <w:szCs w:val="24"/>
        </w:rPr>
        <w:t>provide everyday help to HR, line managers, business owners and employees alike</w:t>
      </w:r>
      <w:r w:rsidR="00C34587">
        <w:rPr>
          <w:rFonts w:ascii="Arial" w:hAnsi="Arial" w:cs="Arial"/>
          <w:sz w:val="24"/>
          <w:szCs w:val="24"/>
        </w:rPr>
        <w:t>. This is</w:t>
      </w:r>
      <w:r w:rsidR="00C34587" w:rsidRPr="00041BB2">
        <w:rPr>
          <w:rFonts w:ascii="Arial" w:hAnsi="Arial" w:cs="Arial"/>
          <w:sz w:val="24"/>
          <w:szCs w:val="24"/>
        </w:rPr>
        <w:t xml:space="preserve"> </w:t>
      </w:r>
      <w:r w:rsidR="00C34587">
        <w:rPr>
          <w:rFonts w:ascii="Arial" w:hAnsi="Arial" w:cs="Arial"/>
          <w:sz w:val="24"/>
          <w:szCs w:val="24"/>
        </w:rPr>
        <w:t>partly to give value on a daily basis - as</w:t>
      </w:r>
      <w:r w:rsidR="00C34587" w:rsidRPr="00041BB2">
        <w:rPr>
          <w:rFonts w:ascii="Arial" w:hAnsi="Arial" w:cs="Arial"/>
          <w:sz w:val="24"/>
          <w:szCs w:val="24"/>
        </w:rPr>
        <w:t xml:space="preserve"> making a claim is not an everyday occurrence</w:t>
      </w:r>
      <w:r w:rsidR="00C34587">
        <w:rPr>
          <w:rFonts w:ascii="Arial" w:hAnsi="Arial" w:cs="Arial"/>
          <w:sz w:val="24"/>
          <w:szCs w:val="24"/>
        </w:rPr>
        <w:t xml:space="preserve"> - but mostly to help mitigate worst-case scenarios or to pick up the pieces when these can’t be avoided. </w:t>
      </w:r>
    </w:p>
    <w:p w:rsidR="00C34587" w:rsidRDefault="00C34587" w:rsidP="00C34587">
      <w:pPr>
        <w:pStyle w:val="NoSpacing"/>
        <w:jc w:val="both"/>
        <w:rPr>
          <w:rFonts w:ascii="Arial" w:hAnsi="Arial" w:cs="Arial"/>
          <w:sz w:val="24"/>
          <w:szCs w:val="24"/>
        </w:rPr>
      </w:pPr>
    </w:p>
    <w:p w:rsidR="00C34587" w:rsidRDefault="00C34587" w:rsidP="00C34587">
      <w:pPr>
        <w:pStyle w:val="NoSpacing"/>
        <w:jc w:val="both"/>
        <w:rPr>
          <w:rFonts w:ascii="Arial" w:hAnsi="Arial" w:cs="Arial"/>
          <w:sz w:val="24"/>
          <w:szCs w:val="24"/>
        </w:rPr>
      </w:pPr>
      <w:r>
        <w:rPr>
          <w:rFonts w:ascii="Arial" w:hAnsi="Arial" w:cs="Arial"/>
          <w:sz w:val="24"/>
          <w:szCs w:val="24"/>
        </w:rPr>
        <w:t>It’s not practical to list everything, but f</w:t>
      </w:r>
      <w:r w:rsidRPr="00041BB2">
        <w:rPr>
          <w:rFonts w:ascii="Arial" w:hAnsi="Arial" w:cs="Arial"/>
          <w:sz w:val="24"/>
          <w:szCs w:val="24"/>
        </w:rPr>
        <w:t>or employers</w:t>
      </w:r>
      <w:r>
        <w:rPr>
          <w:rFonts w:ascii="Arial" w:hAnsi="Arial" w:cs="Arial"/>
          <w:sz w:val="24"/>
          <w:szCs w:val="24"/>
        </w:rPr>
        <w:t xml:space="preserve"> </w:t>
      </w:r>
      <w:r w:rsidRPr="00041BB2">
        <w:rPr>
          <w:rFonts w:ascii="Arial" w:hAnsi="Arial" w:cs="Arial"/>
          <w:sz w:val="24"/>
          <w:szCs w:val="24"/>
        </w:rPr>
        <w:t>support can include HR and employment</w:t>
      </w:r>
      <w:r>
        <w:rPr>
          <w:rFonts w:ascii="Arial" w:hAnsi="Arial" w:cs="Arial"/>
          <w:sz w:val="24"/>
          <w:szCs w:val="24"/>
        </w:rPr>
        <w:t>-</w:t>
      </w:r>
      <w:r w:rsidRPr="00041BB2">
        <w:rPr>
          <w:rFonts w:ascii="Arial" w:hAnsi="Arial" w:cs="Arial"/>
          <w:sz w:val="24"/>
          <w:szCs w:val="24"/>
        </w:rPr>
        <w:t>law advice, legal document-writing systems, absence management, telephone support for difficult situations</w:t>
      </w:r>
      <w:r>
        <w:rPr>
          <w:rFonts w:ascii="Arial" w:hAnsi="Arial" w:cs="Arial"/>
          <w:sz w:val="24"/>
          <w:szCs w:val="24"/>
        </w:rPr>
        <w:t xml:space="preserve"> and </w:t>
      </w:r>
      <w:r w:rsidRPr="00041BB2">
        <w:rPr>
          <w:rFonts w:ascii="Arial" w:hAnsi="Arial" w:cs="Arial"/>
          <w:sz w:val="24"/>
          <w:szCs w:val="24"/>
        </w:rPr>
        <w:t>mediation.</w:t>
      </w:r>
    </w:p>
    <w:p w:rsidR="00C34587" w:rsidRDefault="00C34587" w:rsidP="00C34587">
      <w:pPr>
        <w:pStyle w:val="NoSpacing"/>
        <w:jc w:val="both"/>
        <w:rPr>
          <w:rFonts w:ascii="Arial" w:hAnsi="Arial" w:cs="Arial"/>
          <w:sz w:val="24"/>
          <w:szCs w:val="24"/>
        </w:rPr>
      </w:pPr>
    </w:p>
    <w:p w:rsidR="00C34587" w:rsidRDefault="00C34587" w:rsidP="00C34587">
      <w:pPr>
        <w:pStyle w:val="NoSpacing"/>
        <w:jc w:val="both"/>
        <w:rPr>
          <w:rFonts w:ascii="Arial" w:hAnsi="Arial" w:cs="Arial"/>
          <w:sz w:val="24"/>
          <w:szCs w:val="24"/>
        </w:rPr>
      </w:pPr>
      <w:r>
        <w:rPr>
          <w:rFonts w:ascii="Arial" w:hAnsi="Arial" w:cs="Arial"/>
          <w:sz w:val="24"/>
          <w:szCs w:val="24"/>
        </w:rPr>
        <w:lastRenderedPageBreak/>
        <w:t xml:space="preserve">For employees, help can include access to an </w:t>
      </w:r>
      <w:r w:rsidRPr="00634921">
        <w:rPr>
          <w:rFonts w:ascii="Arial" w:hAnsi="Arial" w:cs="Arial"/>
          <w:sz w:val="24"/>
          <w:szCs w:val="24"/>
        </w:rPr>
        <w:t>Employee Assistance Programme</w:t>
      </w:r>
      <w:r>
        <w:rPr>
          <w:rFonts w:ascii="Arial" w:hAnsi="Arial" w:cs="Arial"/>
          <w:sz w:val="24"/>
          <w:szCs w:val="24"/>
        </w:rPr>
        <w:t xml:space="preserve">, </w:t>
      </w:r>
      <w:r w:rsidRPr="00634921">
        <w:rPr>
          <w:rFonts w:ascii="Arial" w:hAnsi="Arial" w:cs="Arial"/>
          <w:sz w:val="24"/>
          <w:szCs w:val="24"/>
        </w:rPr>
        <w:t>second medical opinion</w:t>
      </w:r>
      <w:r>
        <w:rPr>
          <w:rFonts w:ascii="Arial" w:hAnsi="Arial" w:cs="Arial"/>
          <w:sz w:val="24"/>
          <w:szCs w:val="24"/>
        </w:rPr>
        <w:t>, f</w:t>
      </w:r>
      <w:r w:rsidRPr="00634921">
        <w:rPr>
          <w:rFonts w:ascii="Arial" w:hAnsi="Arial" w:cs="Arial"/>
          <w:sz w:val="24"/>
          <w:szCs w:val="24"/>
        </w:rPr>
        <w:t>ast-track access to counselling, physiotherapy or treatment</w:t>
      </w:r>
      <w:r>
        <w:rPr>
          <w:rFonts w:ascii="Arial" w:hAnsi="Arial" w:cs="Arial"/>
          <w:sz w:val="24"/>
          <w:szCs w:val="24"/>
        </w:rPr>
        <w:t>, h</w:t>
      </w:r>
      <w:r w:rsidRPr="00634921">
        <w:rPr>
          <w:rFonts w:ascii="Arial" w:hAnsi="Arial" w:cs="Arial"/>
          <w:sz w:val="24"/>
          <w:szCs w:val="24"/>
        </w:rPr>
        <w:t>elping people make changes towards better health behaviours</w:t>
      </w:r>
      <w:r>
        <w:rPr>
          <w:rFonts w:ascii="Arial" w:hAnsi="Arial" w:cs="Arial"/>
          <w:sz w:val="24"/>
          <w:szCs w:val="24"/>
        </w:rPr>
        <w:t>,</w:t>
      </w:r>
      <w:r w:rsidRPr="003937DD">
        <w:rPr>
          <w:rFonts w:ascii="Arial" w:hAnsi="Arial" w:cs="Arial"/>
          <w:sz w:val="24"/>
          <w:szCs w:val="24"/>
        </w:rPr>
        <w:t xml:space="preserve"> </w:t>
      </w:r>
      <w:r>
        <w:rPr>
          <w:rFonts w:ascii="Arial" w:hAnsi="Arial" w:cs="Arial"/>
          <w:sz w:val="24"/>
          <w:szCs w:val="24"/>
        </w:rPr>
        <w:t>l</w:t>
      </w:r>
      <w:r w:rsidRPr="00634921">
        <w:rPr>
          <w:rFonts w:ascii="Arial" w:hAnsi="Arial" w:cs="Arial"/>
          <w:sz w:val="24"/>
          <w:szCs w:val="24"/>
        </w:rPr>
        <w:t>iaison and mediation</w:t>
      </w:r>
      <w:r>
        <w:rPr>
          <w:rFonts w:ascii="Arial" w:hAnsi="Arial" w:cs="Arial"/>
          <w:sz w:val="24"/>
          <w:szCs w:val="24"/>
        </w:rPr>
        <w:t>, b</w:t>
      </w:r>
      <w:r w:rsidRPr="00634921">
        <w:rPr>
          <w:rFonts w:ascii="Arial" w:hAnsi="Arial" w:cs="Arial"/>
          <w:sz w:val="24"/>
          <w:szCs w:val="24"/>
        </w:rPr>
        <w:t>ereavement support</w:t>
      </w:r>
      <w:r>
        <w:rPr>
          <w:rFonts w:ascii="Arial" w:hAnsi="Arial" w:cs="Arial"/>
          <w:sz w:val="24"/>
          <w:szCs w:val="24"/>
        </w:rPr>
        <w:t xml:space="preserve"> and </w:t>
      </w:r>
      <w:r w:rsidRPr="00634921">
        <w:rPr>
          <w:rFonts w:ascii="Arial" w:hAnsi="Arial" w:cs="Arial"/>
          <w:sz w:val="24"/>
          <w:szCs w:val="24"/>
        </w:rPr>
        <w:t>help with probate</w:t>
      </w:r>
      <w:r>
        <w:rPr>
          <w:rFonts w:ascii="Arial" w:hAnsi="Arial" w:cs="Arial"/>
          <w:sz w:val="24"/>
          <w:szCs w:val="24"/>
        </w:rPr>
        <w:t>.</w:t>
      </w:r>
    </w:p>
    <w:p w:rsidR="00C34587" w:rsidRDefault="00C34587" w:rsidP="00C34587">
      <w:pPr>
        <w:pStyle w:val="NoSpacing"/>
        <w:jc w:val="both"/>
        <w:rPr>
          <w:rFonts w:ascii="Arial" w:hAnsi="Arial" w:cs="Arial"/>
          <w:sz w:val="24"/>
          <w:szCs w:val="24"/>
        </w:rPr>
      </w:pPr>
    </w:p>
    <w:p w:rsidR="00C34587" w:rsidRPr="003937DD" w:rsidRDefault="00C34587" w:rsidP="00C34587">
      <w:pPr>
        <w:contextualSpacing/>
        <w:jc w:val="both"/>
        <w:rPr>
          <w:rFonts w:ascii="Arial" w:hAnsi="Arial" w:cs="Arial"/>
        </w:rPr>
      </w:pPr>
      <w:r w:rsidRPr="003937DD">
        <w:rPr>
          <w:rFonts w:ascii="Arial" w:hAnsi="Arial" w:cs="Arial"/>
        </w:rPr>
        <w:t>7,879 people accessed extra help and support during 2017 following a referral by a group risk insurer</w:t>
      </w:r>
      <w:r w:rsidR="00364AA1">
        <w:rPr>
          <w:rStyle w:val="FootnoteReference"/>
          <w:rFonts w:ascii="Arial" w:hAnsi="Arial" w:cs="Arial"/>
        </w:rPr>
        <w:footnoteReference w:id="10"/>
      </w:r>
      <w:r>
        <w:rPr>
          <w:rFonts w:ascii="Arial" w:hAnsi="Arial" w:cs="Arial"/>
        </w:rPr>
        <w:t xml:space="preserve">, </w:t>
      </w:r>
      <w:r w:rsidRPr="003937DD">
        <w:rPr>
          <w:rFonts w:ascii="Arial" w:hAnsi="Arial" w:cs="Arial"/>
        </w:rPr>
        <w:t>in addition to countless self-referrals</w:t>
      </w:r>
      <w:r>
        <w:rPr>
          <w:rFonts w:ascii="Arial" w:hAnsi="Arial" w:cs="Arial"/>
        </w:rPr>
        <w:t>.</w:t>
      </w:r>
    </w:p>
    <w:p w:rsidR="000D6ABA" w:rsidRDefault="000D6ABA" w:rsidP="00BB3771">
      <w:pPr>
        <w:spacing w:line="276" w:lineRule="auto"/>
        <w:jc w:val="both"/>
        <w:rPr>
          <w:rFonts w:ascii="Arial" w:hAnsi="Arial" w:cs="Arial"/>
          <w:b/>
          <w:color w:val="7030A0"/>
        </w:rPr>
      </w:pPr>
    </w:p>
    <w:p w:rsidR="00BB3771" w:rsidRPr="00485A96" w:rsidRDefault="005F006E" w:rsidP="00BB3771">
      <w:pPr>
        <w:spacing w:line="276" w:lineRule="auto"/>
        <w:jc w:val="both"/>
        <w:rPr>
          <w:rFonts w:ascii="Arial" w:hAnsi="Arial" w:cs="Arial"/>
          <w:b/>
          <w:color w:val="7030A0"/>
        </w:rPr>
      </w:pPr>
      <w:r>
        <w:rPr>
          <w:rFonts w:ascii="Arial" w:hAnsi="Arial" w:cs="Arial"/>
          <w:b/>
          <w:color w:val="7030A0"/>
        </w:rPr>
        <w:t>August</w:t>
      </w:r>
      <w:r w:rsidR="004A6ADE" w:rsidRPr="00485A96">
        <w:rPr>
          <w:rFonts w:ascii="Arial" w:hAnsi="Arial" w:cs="Arial"/>
          <w:b/>
          <w:color w:val="7030A0"/>
        </w:rPr>
        <w:t xml:space="preserve"> 2018</w:t>
      </w:r>
    </w:p>
    <w:p w:rsidR="000D6ABA" w:rsidRDefault="000D6ABA" w:rsidP="00BB3771">
      <w:pPr>
        <w:spacing w:line="276" w:lineRule="auto"/>
        <w:jc w:val="both"/>
        <w:rPr>
          <w:rFonts w:ascii="Arial" w:hAnsi="Arial" w:cs="Arial"/>
          <w:b/>
          <w:sz w:val="22"/>
          <w:szCs w:val="22"/>
        </w:rPr>
      </w:pPr>
    </w:p>
    <w:p w:rsidR="00BB3771" w:rsidRDefault="00BB3771" w:rsidP="00BB3771">
      <w:pPr>
        <w:spacing w:line="276" w:lineRule="auto"/>
        <w:jc w:val="both"/>
        <w:rPr>
          <w:rFonts w:ascii="Arial" w:hAnsi="Arial" w:cs="Arial"/>
          <w:b/>
          <w:sz w:val="22"/>
          <w:szCs w:val="22"/>
        </w:rPr>
      </w:pPr>
      <w:r w:rsidRPr="00536B9B">
        <w:rPr>
          <w:rFonts w:ascii="Arial" w:hAnsi="Arial" w:cs="Arial"/>
          <w:b/>
          <w:sz w:val="22"/>
          <w:szCs w:val="22"/>
        </w:rPr>
        <w:t>About GRiD</w:t>
      </w:r>
    </w:p>
    <w:p w:rsidR="00DF74DE" w:rsidRPr="00A30DA7" w:rsidRDefault="00DF74DE" w:rsidP="00DF74DE">
      <w:pPr>
        <w:jc w:val="both"/>
        <w:rPr>
          <w:rFonts w:ascii="Arial" w:hAnsi="Arial" w:cs="Arial"/>
          <w:sz w:val="20"/>
          <w:szCs w:val="20"/>
        </w:rPr>
      </w:pPr>
      <w:r w:rsidRPr="00A30DA7">
        <w:rPr>
          <w:rFonts w:ascii="Arial" w:hAnsi="Arial" w:cs="Arial"/>
          <w:sz w:val="20"/>
          <w:szCs w:val="20"/>
        </w:rPr>
        <w:t xml:space="preserve">Group Risk Development (GRiD) is the industry body for the group risk protection sector, promoting the value to UK businesses of providing financial protection for their staff, enhancing their wellbeing and improving employee engagement. Our membership includes insurers, reinsurers and intermediaries who have a collective wealth of experience built over years of operating in the group risk protection market. GRiD aims to promote group risk through a collective voice to Government, policymakers, stakeholders and employers. </w:t>
      </w:r>
    </w:p>
    <w:p w:rsidR="000D6ABA" w:rsidRDefault="00DF74DE" w:rsidP="00DF74DE">
      <w:pPr>
        <w:shd w:val="clear" w:color="auto" w:fill="FFFFFF"/>
        <w:spacing w:before="100" w:beforeAutospacing="1" w:after="100" w:afterAutospacing="1"/>
        <w:jc w:val="both"/>
        <w:rPr>
          <w:rFonts w:ascii="Arial" w:hAnsi="Arial" w:cs="Arial"/>
          <w:sz w:val="20"/>
          <w:szCs w:val="20"/>
        </w:rPr>
      </w:pPr>
      <w:r w:rsidRPr="00A30DA7">
        <w:rPr>
          <w:rFonts w:ascii="Arial" w:hAnsi="Arial" w:cs="Arial"/>
          <w:sz w:val="20"/>
          <w:szCs w:val="20"/>
        </w:rPr>
        <w:t xml:space="preserve">GRiD works with government departments and regulators involved in legislation and regulation affecting group risk benefits, and with other organisations involved in the benefits and financial protection arenas. GRiD also seeks to enhance the industry's standing by encouraging best practice and by participating in industry-wide initiatives such as the professional qualification in group risk </w:t>
      </w:r>
      <w:r w:rsidR="00484978">
        <w:rPr>
          <w:rFonts w:ascii="Arial" w:hAnsi="Arial" w:cs="Arial"/>
          <w:sz w:val="20"/>
          <w:szCs w:val="20"/>
        </w:rPr>
        <w:t>developed</w:t>
      </w:r>
      <w:r w:rsidRPr="00A30DA7">
        <w:rPr>
          <w:rFonts w:ascii="Arial" w:hAnsi="Arial" w:cs="Arial"/>
          <w:sz w:val="20"/>
          <w:szCs w:val="20"/>
        </w:rPr>
        <w:t xml:space="preserve"> jointly with the Chartered Insurance Institute.</w:t>
      </w:r>
    </w:p>
    <w:p w:rsidR="00DF74DE" w:rsidRPr="00A30DA7" w:rsidRDefault="00DF74DE" w:rsidP="00DF74DE">
      <w:pPr>
        <w:shd w:val="clear" w:color="auto" w:fill="FFFFFF"/>
        <w:spacing w:before="100" w:beforeAutospacing="1" w:after="100" w:afterAutospacing="1"/>
        <w:jc w:val="both"/>
        <w:rPr>
          <w:rFonts w:ascii="Arial" w:hAnsi="Arial" w:cs="Arial"/>
          <w:sz w:val="20"/>
          <w:szCs w:val="20"/>
        </w:rPr>
      </w:pPr>
      <w:r w:rsidRPr="00A30DA7">
        <w:rPr>
          <w:rFonts w:ascii="Arial" w:hAnsi="Arial" w:cs="Arial"/>
          <w:sz w:val="20"/>
          <w:szCs w:val="20"/>
        </w:rPr>
        <w:t xml:space="preserve">GRiD’s media activity aims to generate a wider awareness and understanding of group risk products and their benefits for employers and employees. </w:t>
      </w:r>
    </w:p>
    <w:p w:rsidR="00DF74DE" w:rsidRPr="00A30DA7" w:rsidRDefault="006B47B9" w:rsidP="00DF74DE">
      <w:pPr>
        <w:jc w:val="both"/>
        <w:rPr>
          <w:rFonts w:ascii="Arial" w:hAnsi="Arial" w:cs="Arial"/>
          <w:sz w:val="20"/>
          <w:szCs w:val="20"/>
        </w:rPr>
      </w:pPr>
      <w:hyperlink r:id="rId8" w:history="1">
        <w:r w:rsidR="00DF74DE" w:rsidRPr="00A30DA7">
          <w:rPr>
            <w:rFonts w:ascii="Arial" w:hAnsi="Arial" w:cs="Arial"/>
            <w:color w:val="0000FF" w:themeColor="hyperlink"/>
            <w:sz w:val="20"/>
            <w:szCs w:val="20"/>
            <w:u w:val="single"/>
          </w:rPr>
          <w:t>www.grouprisk.org.uk</w:t>
        </w:r>
      </w:hyperlink>
      <w:r w:rsidR="00DF74DE" w:rsidRPr="00A30DA7">
        <w:rPr>
          <w:rFonts w:ascii="Arial" w:hAnsi="Arial" w:cs="Arial"/>
          <w:sz w:val="20"/>
          <w:szCs w:val="20"/>
        </w:rPr>
        <w:t xml:space="preserve"> </w:t>
      </w:r>
    </w:p>
    <w:p w:rsidR="004A6ADE" w:rsidRPr="00536B9B" w:rsidRDefault="004A6ADE" w:rsidP="00BB3771">
      <w:pPr>
        <w:spacing w:line="276" w:lineRule="auto"/>
        <w:jc w:val="both"/>
        <w:rPr>
          <w:rFonts w:ascii="Arial" w:hAnsi="Arial" w:cs="Arial"/>
          <w:b/>
          <w:sz w:val="22"/>
          <w:szCs w:val="22"/>
        </w:rPr>
      </w:pPr>
    </w:p>
    <w:p w:rsidR="00536B9B" w:rsidRPr="00536B9B" w:rsidRDefault="00536B9B">
      <w:pPr>
        <w:spacing w:line="276" w:lineRule="auto"/>
        <w:jc w:val="both"/>
        <w:rPr>
          <w:rFonts w:ascii="Arial" w:hAnsi="Arial" w:cs="Arial"/>
          <w:color w:val="000000"/>
          <w:sz w:val="22"/>
          <w:szCs w:val="22"/>
        </w:rPr>
      </w:pPr>
    </w:p>
    <w:sectPr w:rsidR="00536B9B" w:rsidRPr="00536B9B" w:rsidSect="007E7E5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7B9" w:rsidRDefault="006B47B9" w:rsidP="00372680">
      <w:r>
        <w:separator/>
      </w:r>
    </w:p>
  </w:endnote>
  <w:endnote w:type="continuationSeparator" w:id="0">
    <w:p w:rsidR="006B47B9" w:rsidRDefault="006B47B9" w:rsidP="0037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123" w:rsidRPr="00F60F77" w:rsidRDefault="00B71123">
    <w:pPr>
      <w:pStyle w:val="Footer"/>
      <w:jc w:val="center"/>
      <w:rPr>
        <w:caps/>
        <w:noProof/>
        <w:color w:val="7030A0"/>
      </w:rPr>
    </w:pPr>
    <w:r w:rsidRPr="00F60F77">
      <w:rPr>
        <w:caps/>
        <w:color w:val="7030A0"/>
      </w:rPr>
      <w:fldChar w:fldCharType="begin"/>
    </w:r>
    <w:r w:rsidRPr="00F60F77">
      <w:rPr>
        <w:caps/>
        <w:color w:val="7030A0"/>
      </w:rPr>
      <w:instrText xml:space="preserve"> PAGE   \* MERGEFORMAT </w:instrText>
    </w:r>
    <w:r w:rsidRPr="00F60F77">
      <w:rPr>
        <w:caps/>
        <w:color w:val="7030A0"/>
      </w:rPr>
      <w:fldChar w:fldCharType="separate"/>
    </w:r>
    <w:r w:rsidR="007954D4">
      <w:rPr>
        <w:caps/>
        <w:noProof/>
        <w:color w:val="7030A0"/>
      </w:rPr>
      <w:t>1</w:t>
    </w:r>
    <w:r w:rsidRPr="00F60F77">
      <w:rPr>
        <w:caps/>
        <w:noProof/>
        <w:color w:val="7030A0"/>
      </w:rPr>
      <w:fldChar w:fldCharType="end"/>
    </w:r>
  </w:p>
  <w:p w:rsidR="00DF2897" w:rsidRDefault="00DF2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7B9" w:rsidRDefault="006B47B9" w:rsidP="00372680">
      <w:r>
        <w:separator/>
      </w:r>
    </w:p>
  </w:footnote>
  <w:footnote w:type="continuationSeparator" w:id="0">
    <w:p w:rsidR="006B47B9" w:rsidRDefault="006B47B9" w:rsidP="00372680">
      <w:r>
        <w:continuationSeparator/>
      </w:r>
    </w:p>
  </w:footnote>
  <w:footnote w:id="1">
    <w:p w:rsidR="00723B7D" w:rsidRDefault="00723B7D" w:rsidP="00723B7D">
      <w:pPr>
        <w:pStyle w:val="FootnoteText"/>
      </w:pPr>
      <w:r>
        <w:rPr>
          <w:rStyle w:val="FootnoteReference"/>
        </w:rPr>
        <w:footnoteRef/>
      </w:r>
      <w:r>
        <w:t xml:space="preserve"> Swiss Re “Group Watch 2018”</w:t>
      </w:r>
    </w:p>
    <w:p w:rsidR="00723B7D" w:rsidRDefault="00723B7D">
      <w:pPr>
        <w:pStyle w:val="FootnoteText"/>
      </w:pPr>
    </w:p>
  </w:footnote>
  <w:footnote w:id="2">
    <w:p w:rsidR="00DE72CD" w:rsidRDefault="00DE72CD">
      <w:pPr>
        <w:pStyle w:val="FootnoteText"/>
      </w:pPr>
      <w:r>
        <w:rPr>
          <w:rStyle w:val="FootnoteReference"/>
        </w:rPr>
        <w:footnoteRef/>
      </w:r>
      <w:r>
        <w:t xml:space="preserve"> </w:t>
      </w:r>
      <w:r w:rsidR="00E808D0">
        <w:t>Swiss Re “Group Watch 2018”</w:t>
      </w:r>
    </w:p>
  </w:footnote>
  <w:footnote w:id="3">
    <w:p w:rsidR="00372680" w:rsidRDefault="00372680" w:rsidP="00372680">
      <w:pPr>
        <w:pStyle w:val="FootnoteText"/>
      </w:pPr>
      <w:r>
        <w:rPr>
          <w:rStyle w:val="FootnoteReference"/>
        </w:rPr>
        <w:footnoteRef/>
      </w:r>
      <w:r>
        <w:t xml:space="preserve"> </w:t>
      </w:r>
      <w:r w:rsidR="00E808D0">
        <w:t>Swiss Re 2018</w:t>
      </w:r>
    </w:p>
  </w:footnote>
  <w:footnote w:id="4">
    <w:p w:rsidR="00372680" w:rsidRDefault="00372680" w:rsidP="00372680">
      <w:pPr>
        <w:pStyle w:val="FootnoteText"/>
      </w:pPr>
      <w:r>
        <w:rPr>
          <w:rStyle w:val="FootnoteReference"/>
        </w:rPr>
        <w:footnoteRef/>
      </w:r>
      <w:r>
        <w:t xml:space="preserve"> GRiD 201</w:t>
      </w:r>
      <w:r w:rsidR="00FF4E86">
        <w:t>8</w:t>
      </w:r>
      <w:r>
        <w:t xml:space="preserve"> Claims Survey</w:t>
      </w:r>
    </w:p>
  </w:footnote>
  <w:footnote w:id="5">
    <w:p w:rsidR="0073271B" w:rsidRPr="0073271B" w:rsidRDefault="0073271B">
      <w:pPr>
        <w:pStyle w:val="FootnoteText"/>
        <w:rPr>
          <w:color w:val="FF0000"/>
        </w:rPr>
      </w:pPr>
      <w:r>
        <w:rPr>
          <w:rStyle w:val="FootnoteReference"/>
        </w:rPr>
        <w:footnoteRef/>
      </w:r>
      <w:r>
        <w:t xml:space="preserve"> </w:t>
      </w:r>
      <w:r w:rsidRPr="005905B4">
        <w:t xml:space="preserve">Swiss Re </w:t>
      </w:r>
      <w:r>
        <w:t>“</w:t>
      </w:r>
      <w:r w:rsidRPr="005905B4">
        <w:t>Group Watch 201</w:t>
      </w:r>
      <w:r>
        <w:t>8”</w:t>
      </w:r>
    </w:p>
  </w:footnote>
  <w:footnote w:id="6">
    <w:p w:rsidR="00372680" w:rsidRPr="00E713D4" w:rsidRDefault="00372680" w:rsidP="00372680">
      <w:pPr>
        <w:pStyle w:val="FootnoteText"/>
        <w:rPr>
          <w:color w:val="FF0000"/>
        </w:rPr>
      </w:pPr>
      <w:r>
        <w:rPr>
          <w:rStyle w:val="FootnoteReference"/>
        </w:rPr>
        <w:footnoteRef/>
      </w:r>
      <w:r>
        <w:t xml:space="preserve"> </w:t>
      </w:r>
      <w:bookmarkStart w:id="0" w:name="_Hlk519685741"/>
      <w:r w:rsidRPr="005905B4">
        <w:t xml:space="preserve">Swiss Re </w:t>
      </w:r>
      <w:r w:rsidR="0073271B">
        <w:t>2018</w:t>
      </w:r>
    </w:p>
    <w:bookmarkEnd w:id="0"/>
  </w:footnote>
  <w:footnote w:id="7">
    <w:p w:rsidR="00372680" w:rsidRDefault="00372680" w:rsidP="00372680">
      <w:pPr>
        <w:pStyle w:val="FootnoteText"/>
      </w:pPr>
      <w:r>
        <w:rPr>
          <w:rStyle w:val="FootnoteReference"/>
        </w:rPr>
        <w:footnoteRef/>
      </w:r>
      <w:r>
        <w:t xml:space="preserve"> GRiD 201</w:t>
      </w:r>
      <w:r w:rsidR="00FF4E86">
        <w:t>8</w:t>
      </w:r>
      <w:r>
        <w:t xml:space="preserve"> Claims Survey</w:t>
      </w:r>
    </w:p>
  </w:footnote>
  <w:footnote w:id="8">
    <w:p w:rsidR="000F342E" w:rsidRPr="007000DB" w:rsidRDefault="000F342E">
      <w:pPr>
        <w:pStyle w:val="FootnoteText"/>
        <w:rPr>
          <w:color w:val="FF0000"/>
        </w:rPr>
      </w:pPr>
      <w:r>
        <w:rPr>
          <w:rStyle w:val="FootnoteReference"/>
        </w:rPr>
        <w:footnoteRef/>
      </w:r>
      <w:r>
        <w:t xml:space="preserve"> </w:t>
      </w:r>
      <w:r w:rsidR="007000DB" w:rsidRPr="005905B4">
        <w:t xml:space="preserve">Swiss Re </w:t>
      </w:r>
      <w:r w:rsidR="007000DB">
        <w:t>“</w:t>
      </w:r>
      <w:r w:rsidR="007000DB" w:rsidRPr="005905B4">
        <w:t xml:space="preserve">Group Watch </w:t>
      </w:r>
      <w:r w:rsidR="007000DB" w:rsidRPr="005905B4">
        <w:t>201</w:t>
      </w:r>
      <w:r w:rsidR="007000DB">
        <w:t>8”</w:t>
      </w:r>
      <w:bookmarkStart w:id="1" w:name="_GoBack"/>
      <w:bookmarkEnd w:id="1"/>
    </w:p>
  </w:footnote>
  <w:footnote w:id="9">
    <w:p w:rsidR="00827B9D" w:rsidRDefault="00372680" w:rsidP="00372680">
      <w:pPr>
        <w:pStyle w:val="FootnoteText"/>
      </w:pPr>
      <w:r>
        <w:rPr>
          <w:rStyle w:val="FootnoteReference"/>
        </w:rPr>
        <w:footnoteRef/>
      </w:r>
      <w:r>
        <w:t xml:space="preserve"> </w:t>
      </w:r>
      <w:r w:rsidR="00244063">
        <w:t>GRiD 2018 Claims Survey</w:t>
      </w:r>
    </w:p>
  </w:footnote>
  <w:footnote w:id="10">
    <w:p w:rsidR="00364AA1" w:rsidRDefault="00364AA1">
      <w:pPr>
        <w:pStyle w:val="FootnoteText"/>
      </w:pPr>
      <w:r>
        <w:rPr>
          <w:rStyle w:val="FootnoteReference"/>
        </w:rPr>
        <w:footnoteRef/>
      </w:r>
      <w:r>
        <w:t xml:space="preserve"> GRiD 2018 Claims Survey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97C" w:rsidRDefault="00A7197C">
    <w:pPr>
      <w:pStyle w:val="Header"/>
    </w:pPr>
    <w:r>
      <w:tab/>
    </w:r>
    <w:r>
      <w:tab/>
    </w:r>
    <w:r>
      <w:rPr>
        <w:noProof/>
      </w:rPr>
      <w:drawing>
        <wp:inline distT="0" distB="0" distL="0" distR="0">
          <wp:extent cx="1217815" cy="86452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GriD-logo.jpg"/>
                  <pic:cNvPicPr/>
                </pic:nvPicPr>
                <pic:blipFill>
                  <a:blip r:embed="rId1">
                    <a:extLst>
                      <a:ext uri="{28A0092B-C50C-407E-A947-70E740481C1C}">
                        <a14:useLocalDpi xmlns:a14="http://schemas.microsoft.com/office/drawing/2010/main" val="0"/>
                      </a:ext>
                    </a:extLst>
                  </a:blip>
                  <a:stretch>
                    <a:fillRect/>
                  </a:stretch>
                </pic:blipFill>
                <pic:spPr>
                  <a:xfrm>
                    <a:off x="0" y="0"/>
                    <a:ext cx="1217815" cy="8645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B408C"/>
    <w:multiLevelType w:val="hybridMultilevel"/>
    <w:tmpl w:val="502885DE"/>
    <w:lvl w:ilvl="0" w:tplc="69EC1D82">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 w15:restartNumberingAfterBreak="0">
    <w:nsid w:val="56D313E6"/>
    <w:multiLevelType w:val="hybridMultilevel"/>
    <w:tmpl w:val="C2D87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680"/>
    <w:rsid w:val="00007027"/>
    <w:rsid w:val="0002542F"/>
    <w:rsid w:val="00035AFB"/>
    <w:rsid w:val="00080EB3"/>
    <w:rsid w:val="000A42A3"/>
    <w:rsid w:val="000C5934"/>
    <w:rsid w:val="000D6ABA"/>
    <w:rsid w:val="000D7145"/>
    <w:rsid w:val="000F342E"/>
    <w:rsid w:val="00111321"/>
    <w:rsid w:val="001205DA"/>
    <w:rsid w:val="00124599"/>
    <w:rsid w:val="00131F13"/>
    <w:rsid w:val="0016360B"/>
    <w:rsid w:val="00175822"/>
    <w:rsid w:val="00182752"/>
    <w:rsid w:val="001A54C7"/>
    <w:rsid w:val="001B649C"/>
    <w:rsid w:val="001D7D6A"/>
    <w:rsid w:val="002109EE"/>
    <w:rsid w:val="00227E15"/>
    <w:rsid w:val="00233B90"/>
    <w:rsid w:val="00244063"/>
    <w:rsid w:val="00257FA6"/>
    <w:rsid w:val="00266D14"/>
    <w:rsid w:val="00277618"/>
    <w:rsid w:val="002958E1"/>
    <w:rsid w:val="002B5BED"/>
    <w:rsid w:val="002D3CFE"/>
    <w:rsid w:val="002D52B0"/>
    <w:rsid w:val="003074E7"/>
    <w:rsid w:val="003179B6"/>
    <w:rsid w:val="0033538D"/>
    <w:rsid w:val="003550AF"/>
    <w:rsid w:val="00356DF1"/>
    <w:rsid w:val="00357654"/>
    <w:rsid w:val="00364AA1"/>
    <w:rsid w:val="00372680"/>
    <w:rsid w:val="0038477E"/>
    <w:rsid w:val="003A2A7C"/>
    <w:rsid w:val="004208EC"/>
    <w:rsid w:val="00465E97"/>
    <w:rsid w:val="00470DB2"/>
    <w:rsid w:val="004723DD"/>
    <w:rsid w:val="0047685F"/>
    <w:rsid w:val="00484978"/>
    <w:rsid w:val="00485A96"/>
    <w:rsid w:val="004A6ADE"/>
    <w:rsid w:val="00536B9B"/>
    <w:rsid w:val="00540161"/>
    <w:rsid w:val="00557649"/>
    <w:rsid w:val="00566DCB"/>
    <w:rsid w:val="00572DD9"/>
    <w:rsid w:val="005B332D"/>
    <w:rsid w:val="005F006E"/>
    <w:rsid w:val="005F58ED"/>
    <w:rsid w:val="006231C7"/>
    <w:rsid w:val="00670E9F"/>
    <w:rsid w:val="006737AC"/>
    <w:rsid w:val="00683D44"/>
    <w:rsid w:val="00694919"/>
    <w:rsid w:val="006B47B9"/>
    <w:rsid w:val="006C2C17"/>
    <w:rsid w:val="006D13BA"/>
    <w:rsid w:val="006D381C"/>
    <w:rsid w:val="007000DB"/>
    <w:rsid w:val="00706927"/>
    <w:rsid w:val="00712140"/>
    <w:rsid w:val="00723B7D"/>
    <w:rsid w:val="00726049"/>
    <w:rsid w:val="0073271B"/>
    <w:rsid w:val="00745796"/>
    <w:rsid w:val="00772CA3"/>
    <w:rsid w:val="007954D4"/>
    <w:rsid w:val="007A73AC"/>
    <w:rsid w:val="007B6569"/>
    <w:rsid w:val="007D474B"/>
    <w:rsid w:val="007D4A29"/>
    <w:rsid w:val="007E7E57"/>
    <w:rsid w:val="00827B9D"/>
    <w:rsid w:val="00831FCC"/>
    <w:rsid w:val="008634AD"/>
    <w:rsid w:val="00865679"/>
    <w:rsid w:val="00873CC5"/>
    <w:rsid w:val="008A39C1"/>
    <w:rsid w:val="008B2E19"/>
    <w:rsid w:val="008B6048"/>
    <w:rsid w:val="008B640F"/>
    <w:rsid w:val="008F2896"/>
    <w:rsid w:val="00922201"/>
    <w:rsid w:val="009376DB"/>
    <w:rsid w:val="0094737B"/>
    <w:rsid w:val="009C2679"/>
    <w:rsid w:val="009E4C3B"/>
    <w:rsid w:val="00A06A2E"/>
    <w:rsid w:val="00A16253"/>
    <w:rsid w:val="00A559BC"/>
    <w:rsid w:val="00A5749A"/>
    <w:rsid w:val="00A62AFA"/>
    <w:rsid w:val="00A660DC"/>
    <w:rsid w:val="00A7197C"/>
    <w:rsid w:val="00A963D7"/>
    <w:rsid w:val="00AC03DC"/>
    <w:rsid w:val="00AD141C"/>
    <w:rsid w:val="00B15A7C"/>
    <w:rsid w:val="00B20C8A"/>
    <w:rsid w:val="00B225B1"/>
    <w:rsid w:val="00B43C68"/>
    <w:rsid w:val="00B57A24"/>
    <w:rsid w:val="00B65054"/>
    <w:rsid w:val="00B71123"/>
    <w:rsid w:val="00B71443"/>
    <w:rsid w:val="00B90F52"/>
    <w:rsid w:val="00B954D9"/>
    <w:rsid w:val="00BB3771"/>
    <w:rsid w:val="00BF5E33"/>
    <w:rsid w:val="00BF6338"/>
    <w:rsid w:val="00C13F88"/>
    <w:rsid w:val="00C14C92"/>
    <w:rsid w:val="00C24F7A"/>
    <w:rsid w:val="00C34587"/>
    <w:rsid w:val="00C65AFD"/>
    <w:rsid w:val="00CB5CE8"/>
    <w:rsid w:val="00CC73C3"/>
    <w:rsid w:val="00CD0599"/>
    <w:rsid w:val="00CF6BB2"/>
    <w:rsid w:val="00D00FD1"/>
    <w:rsid w:val="00D756FA"/>
    <w:rsid w:val="00D91593"/>
    <w:rsid w:val="00DA433F"/>
    <w:rsid w:val="00DE72CD"/>
    <w:rsid w:val="00DF2897"/>
    <w:rsid w:val="00DF74DE"/>
    <w:rsid w:val="00E16111"/>
    <w:rsid w:val="00E16F42"/>
    <w:rsid w:val="00E2214E"/>
    <w:rsid w:val="00E50113"/>
    <w:rsid w:val="00E808D0"/>
    <w:rsid w:val="00E93065"/>
    <w:rsid w:val="00EA6978"/>
    <w:rsid w:val="00ED17F5"/>
    <w:rsid w:val="00ED1D1D"/>
    <w:rsid w:val="00EE1513"/>
    <w:rsid w:val="00EE2292"/>
    <w:rsid w:val="00F27812"/>
    <w:rsid w:val="00F456BA"/>
    <w:rsid w:val="00F60F77"/>
    <w:rsid w:val="00F8328F"/>
    <w:rsid w:val="00F8711F"/>
    <w:rsid w:val="00F90504"/>
    <w:rsid w:val="00FB0DB5"/>
    <w:rsid w:val="00FB103E"/>
    <w:rsid w:val="00FC43B4"/>
    <w:rsid w:val="00FF419F"/>
    <w:rsid w:val="00FF4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CB81E77"/>
  <w15:docId w15:val="{988CE021-B7FB-4F57-9D6F-4F836759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680"/>
    <w:pPr>
      <w:spacing w:after="0" w:line="240" w:lineRule="auto"/>
    </w:pPr>
    <w:rPr>
      <w:rFonts w:ascii="GillSans" w:eastAsia="Times New Roman" w:hAnsi="GillSans" w:cs="Times New Roman"/>
      <w:sz w:val="24"/>
      <w:szCs w:val="24"/>
      <w:lang w:eastAsia="en-GB"/>
    </w:rPr>
  </w:style>
  <w:style w:type="paragraph" w:styleId="Heading3">
    <w:name w:val="heading 3"/>
    <w:basedOn w:val="Normal"/>
    <w:next w:val="Normal"/>
    <w:link w:val="Heading3Char"/>
    <w:qFormat/>
    <w:rsid w:val="0037268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72680"/>
    <w:rPr>
      <w:rFonts w:ascii="GillSans" w:eastAsia="Times New Roman" w:hAnsi="GillSans" w:cs="Arial"/>
      <w:b/>
      <w:bCs/>
      <w:sz w:val="26"/>
      <w:szCs w:val="26"/>
      <w:lang w:eastAsia="en-GB"/>
    </w:rPr>
  </w:style>
  <w:style w:type="paragraph" w:styleId="FootnoteText">
    <w:name w:val="footnote text"/>
    <w:basedOn w:val="Normal"/>
    <w:link w:val="FootnoteTextChar"/>
    <w:semiHidden/>
    <w:rsid w:val="00372680"/>
    <w:rPr>
      <w:rFonts w:ascii="Times New Roman" w:hAnsi="Times New Roman"/>
      <w:sz w:val="20"/>
      <w:szCs w:val="20"/>
    </w:rPr>
  </w:style>
  <w:style w:type="character" w:customStyle="1" w:styleId="FootnoteTextChar">
    <w:name w:val="Footnote Text Char"/>
    <w:basedOn w:val="DefaultParagraphFont"/>
    <w:link w:val="FootnoteText"/>
    <w:semiHidden/>
    <w:rsid w:val="00372680"/>
    <w:rPr>
      <w:rFonts w:ascii="Times New Roman" w:eastAsia="Times New Roman" w:hAnsi="Times New Roman" w:cs="Times New Roman"/>
      <w:sz w:val="20"/>
      <w:szCs w:val="20"/>
      <w:lang w:eastAsia="en-GB"/>
    </w:rPr>
  </w:style>
  <w:style w:type="character" w:styleId="FootnoteReference">
    <w:name w:val="footnote reference"/>
    <w:semiHidden/>
    <w:rsid w:val="00372680"/>
    <w:rPr>
      <w:vertAlign w:val="superscript"/>
    </w:rPr>
  </w:style>
  <w:style w:type="character" w:styleId="CommentReference">
    <w:name w:val="annotation reference"/>
    <w:rsid w:val="00FC43B4"/>
    <w:rPr>
      <w:sz w:val="16"/>
      <w:szCs w:val="16"/>
    </w:rPr>
  </w:style>
  <w:style w:type="paragraph" w:styleId="CommentText">
    <w:name w:val="annotation text"/>
    <w:basedOn w:val="Normal"/>
    <w:link w:val="CommentTextChar"/>
    <w:rsid w:val="00FC43B4"/>
    <w:rPr>
      <w:rFonts w:ascii="Times New Roman" w:hAnsi="Times New Roman"/>
      <w:sz w:val="20"/>
      <w:szCs w:val="20"/>
    </w:rPr>
  </w:style>
  <w:style w:type="character" w:customStyle="1" w:styleId="CommentTextChar">
    <w:name w:val="Comment Text Char"/>
    <w:basedOn w:val="DefaultParagraphFont"/>
    <w:link w:val="CommentText"/>
    <w:rsid w:val="00FC43B4"/>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FC43B4"/>
    <w:rPr>
      <w:rFonts w:ascii="Tahoma" w:hAnsi="Tahoma" w:cs="Tahoma"/>
      <w:sz w:val="16"/>
      <w:szCs w:val="16"/>
    </w:rPr>
  </w:style>
  <w:style w:type="character" w:customStyle="1" w:styleId="BalloonTextChar">
    <w:name w:val="Balloon Text Char"/>
    <w:basedOn w:val="DefaultParagraphFont"/>
    <w:link w:val="BalloonText"/>
    <w:uiPriority w:val="99"/>
    <w:semiHidden/>
    <w:rsid w:val="00FC43B4"/>
    <w:rPr>
      <w:rFonts w:ascii="Tahoma" w:eastAsia="Times New Roman" w:hAnsi="Tahoma" w:cs="Tahoma"/>
      <w:sz w:val="16"/>
      <w:szCs w:val="16"/>
      <w:lang w:eastAsia="en-GB"/>
    </w:rPr>
  </w:style>
  <w:style w:type="character" w:styleId="Hyperlink">
    <w:name w:val="Hyperlink"/>
    <w:rsid w:val="00BB3771"/>
    <w:rPr>
      <w:color w:val="0000FF"/>
      <w:u w:val="single"/>
    </w:rPr>
  </w:style>
  <w:style w:type="paragraph" w:styleId="Header">
    <w:name w:val="header"/>
    <w:basedOn w:val="Normal"/>
    <w:link w:val="HeaderChar"/>
    <w:uiPriority w:val="99"/>
    <w:unhideWhenUsed/>
    <w:rsid w:val="00DF2897"/>
    <w:pPr>
      <w:tabs>
        <w:tab w:val="center" w:pos="4513"/>
        <w:tab w:val="right" w:pos="9026"/>
      </w:tabs>
    </w:pPr>
  </w:style>
  <w:style w:type="character" w:customStyle="1" w:styleId="HeaderChar">
    <w:name w:val="Header Char"/>
    <w:basedOn w:val="DefaultParagraphFont"/>
    <w:link w:val="Header"/>
    <w:uiPriority w:val="99"/>
    <w:rsid w:val="00DF2897"/>
    <w:rPr>
      <w:rFonts w:ascii="GillSans" w:eastAsia="Times New Roman" w:hAnsi="GillSans" w:cs="Times New Roman"/>
      <w:sz w:val="24"/>
      <w:szCs w:val="24"/>
      <w:lang w:eastAsia="en-GB"/>
    </w:rPr>
  </w:style>
  <w:style w:type="paragraph" w:styleId="Footer">
    <w:name w:val="footer"/>
    <w:basedOn w:val="Normal"/>
    <w:link w:val="FooterChar"/>
    <w:uiPriority w:val="99"/>
    <w:unhideWhenUsed/>
    <w:rsid w:val="00DF2897"/>
    <w:pPr>
      <w:tabs>
        <w:tab w:val="center" w:pos="4513"/>
        <w:tab w:val="right" w:pos="9026"/>
      </w:tabs>
    </w:pPr>
  </w:style>
  <w:style w:type="character" w:customStyle="1" w:styleId="FooterChar">
    <w:name w:val="Footer Char"/>
    <w:basedOn w:val="DefaultParagraphFont"/>
    <w:link w:val="Footer"/>
    <w:uiPriority w:val="99"/>
    <w:rsid w:val="00DF2897"/>
    <w:rPr>
      <w:rFonts w:ascii="GillSans" w:eastAsia="Times New Roman" w:hAnsi="GillSans" w:cs="Times New Roman"/>
      <w:sz w:val="24"/>
      <w:szCs w:val="24"/>
      <w:lang w:eastAsia="en-GB"/>
    </w:rPr>
  </w:style>
  <w:style w:type="paragraph" w:styleId="NoSpacing">
    <w:name w:val="No Spacing"/>
    <w:uiPriority w:val="1"/>
    <w:qFormat/>
    <w:rsid w:val="00557649"/>
    <w:pPr>
      <w:spacing w:after="0" w:line="240" w:lineRule="auto"/>
    </w:pPr>
  </w:style>
  <w:style w:type="paragraph" w:styleId="CommentSubject">
    <w:name w:val="annotation subject"/>
    <w:basedOn w:val="CommentText"/>
    <w:next w:val="CommentText"/>
    <w:link w:val="CommentSubjectChar"/>
    <w:uiPriority w:val="99"/>
    <w:semiHidden/>
    <w:unhideWhenUsed/>
    <w:rsid w:val="00566DCB"/>
    <w:rPr>
      <w:rFonts w:ascii="GillSans" w:hAnsi="GillSans"/>
      <w:b/>
      <w:bCs/>
    </w:rPr>
  </w:style>
  <w:style w:type="character" w:customStyle="1" w:styleId="CommentSubjectChar">
    <w:name w:val="Comment Subject Char"/>
    <w:basedOn w:val="CommentTextChar"/>
    <w:link w:val="CommentSubject"/>
    <w:uiPriority w:val="99"/>
    <w:semiHidden/>
    <w:rsid w:val="00566DCB"/>
    <w:rPr>
      <w:rFonts w:ascii="GillSans" w:eastAsia="Times New Roman" w:hAnsi="GillSans" w:cs="Times New Roman"/>
      <w:b/>
      <w:bCs/>
      <w:sz w:val="20"/>
      <w:szCs w:val="20"/>
      <w:lang w:eastAsia="en-GB"/>
    </w:rPr>
  </w:style>
  <w:style w:type="paragraph" w:styleId="Revision">
    <w:name w:val="Revision"/>
    <w:hidden/>
    <w:uiPriority w:val="99"/>
    <w:semiHidden/>
    <w:rsid w:val="00566DCB"/>
    <w:pPr>
      <w:spacing w:after="0" w:line="240" w:lineRule="auto"/>
    </w:pPr>
    <w:rPr>
      <w:rFonts w:ascii="GillSans" w:eastAsia="Times New Roman" w:hAnsi="GillSans"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ouprisk.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56276-18DC-4CF5-A50C-A158E364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Moxham</dc:creator>
  <cp:lastModifiedBy>Katharine Moxham</cp:lastModifiedBy>
  <cp:revision>19</cp:revision>
  <cp:lastPrinted>2018-08-01T13:35:00Z</cp:lastPrinted>
  <dcterms:created xsi:type="dcterms:W3CDTF">2018-08-01T12:32:00Z</dcterms:created>
  <dcterms:modified xsi:type="dcterms:W3CDTF">2018-08-01T14:11:00Z</dcterms:modified>
</cp:coreProperties>
</file>